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77BDE" w14:textId="77777777" w:rsidR="00151E76" w:rsidRDefault="00151E76" w:rsidP="5339D8FC">
      <w:pPr>
        <w:pStyle w:val="paragraph"/>
        <w:spacing w:before="0" w:beforeAutospacing="0" w:after="0" w:afterAutospacing="0" w:line="480" w:lineRule="auto"/>
        <w:textAlignment w:val="baseline"/>
      </w:pPr>
      <w:bookmarkStart w:id="0" w:name="_GoBack"/>
      <w:bookmarkEnd w:id="0"/>
      <w:r w:rsidRPr="5339D8FC">
        <w:rPr>
          <w:rStyle w:val="normaltextrun"/>
        </w:rPr>
        <w:t>I.</w:t>
      </w:r>
      <w:r w:rsidRPr="5339D8FC">
        <w:rPr>
          <w:rStyle w:val="tabchar"/>
        </w:rPr>
        <w:t xml:space="preserve"> </w:t>
      </w:r>
      <w:r w:rsidRPr="5339D8FC">
        <w:rPr>
          <w:rStyle w:val="normaltextrun"/>
        </w:rPr>
        <w:t>Introduction</w:t>
      </w:r>
      <w:r w:rsidRPr="5339D8FC">
        <w:rPr>
          <w:rStyle w:val="eop"/>
        </w:rPr>
        <w:t> </w:t>
      </w:r>
    </w:p>
    <w:p w14:paraId="3D97E757" w14:textId="77777777" w:rsidR="00151E76" w:rsidRDefault="00151E76" w:rsidP="5339D8FC">
      <w:pPr>
        <w:pStyle w:val="paragraph"/>
        <w:spacing w:before="0" w:beforeAutospacing="0" w:after="0" w:afterAutospacing="0" w:line="480" w:lineRule="auto"/>
        <w:textAlignment w:val="baseline"/>
      </w:pPr>
      <w:r w:rsidRPr="5339D8FC">
        <w:rPr>
          <w:rStyle w:val="normaltextrun"/>
        </w:rPr>
        <w:t>II.</w:t>
      </w:r>
      <w:r w:rsidRPr="5339D8FC">
        <w:rPr>
          <w:rStyle w:val="tabchar"/>
        </w:rPr>
        <w:t xml:space="preserve"> </w:t>
      </w:r>
      <w:r w:rsidRPr="5339D8FC">
        <w:rPr>
          <w:rStyle w:val="normaltextrun"/>
        </w:rPr>
        <w:t>Objective</w:t>
      </w:r>
      <w:r w:rsidRPr="5339D8FC">
        <w:rPr>
          <w:rStyle w:val="eop"/>
        </w:rPr>
        <w:t> </w:t>
      </w:r>
    </w:p>
    <w:p w14:paraId="0792B978" w14:textId="77777777" w:rsidR="00151E76" w:rsidRDefault="00151E76" w:rsidP="5339D8FC">
      <w:pPr>
        <w:pStyle w:val="paragraph"/>
        <w:spacing w:before="0" w:beforeAutospacing="0" w:after="0" w:afterAutospacing="0" w:line="480" w:lineRule="auto"/>
        <w:textAlignment w:val="baseline"/>
      </w:pPr>
      <w:r w:rsidRPr="5339D8FC">
        <w:rPr>
          <w:rStyle w:val="normaltextrun"/>
        </w:rPr>
        <w:t>III.</w:t>
      </w:r>
      <w:r w:rsidRPr="5339D8FC">
        <w:rPr>
          <w:rStyle w:val="tabchar"/>
        </w:rPr>
        <w:t xml:space="preserve"> </w:t>
      </w:r>
      <w:r w:rsidRPr="5339D8FC">
        <w:rPr>
          <w:rStyle w:val="normaltextrun"/>
        </w:rPr>
        <w:t>Theoretical and Research Perspective</w:t>
      </w:r>
      <w:r w:rsidRPr="5339D8FC">
        <w:rPr>
          <w:rStyle w:val="eop"/>
        </w:rPr>
        <w:t> </w:t>
      </w:r>
    </w:p>
    <w:p w14:paraId="22E1E14D" w14:textId="77777777" w:rsidR="00151E76" w:rsidRDefault="00151E76" w:rsidP="5339D8FC">
      <w:pPr>
        <w:pStyle w:val="paragraph"/>
        <w:spacing w:before="0" w:beforeAutospacing="0" w:after="0" w:afterAutospacing="0" w:line="480" w:lineRule="auto"/>
        <w:textAlignment w:val="baseline"/>
      </w:pPr>
      <w:r w:rsidRPr="5339D8FC">
        <w:rPr>
          <w:rStyle w:val="normaltextrun"/>
        </w:rPr>
        <w:t>IV.</w:t>
      </w:r>
      <w:r w:rsidRPr="5339D8FC">
        <w:rPr>
          <w:rStyle w:val="tabchar"/>
        </w:rPr>
        <w:t xml:space="preserve"> </w:t>
      </w:r>
      <w:r w:rsidRPr="5339D8FC">
        <w:rPr>
          <w:rStyle w:val="normaltextrun"/>
        </w:rPr>
        <w:t>Epidemiology</w:t>
      </w:r>
      <w:r w:rsidRPr="5339D8FC">
        <w:rPr>
          <w:rStyle w:val="eop"/>
        </w:rPr>
        <w:t> </w:t>
      </w:r>
    </w:p>
    <w:p w14:paraId="4E8CFCFF" w14:textId="77777777" w:rsidR="00151E76" w:rsidRDefault="00151E76" w:rsidP="5339D8FC">
      <w:pPr>
        <w:pStyle w:val="paragraph"/>
        <w:spacing w:before="0" w:beforeAutospacing="0" w:after="0" w:afterAutospacing="0" w:line="480" w:lineRule="auto"/>
        <w:textAlignment w:val="baseline"/>
      </w:pPr>
      <w:r w:rsidRPr="5339D8FC">
        <w:rPr>
          <w:rStyle w:val="normaltextrun"/>
        </w:rPr>
        <w:t>V.</w:t>
      </w:r>
      <w:r w:rsidRPr="5339D8FC">
        <w:rPr>
          <w:rStyle w:val="tabchar"/>
        </w:rPr>
        <w:t xml:space="preserve"> </w:t>
      </w:r>
      <w:r w:rsidRPr="5339D8FC">
        <w:rPr>
          <w:rStyle w:val="normaltextrun"/>
        </w:rPr>
        <w:t>At Risks Population</w:t>
      </w:r>
      <w:r w:rsidRPr="5339D8FC">
        <w:rPr>
          <w:rStyle w:val="eop"/>
        </w:rPr>
        <w:t> </w:t>
      </w:r>
    </w:p>
    <w:p w14:paraId="11D29B0E" w14:textId="77777777" w:rsidR="00151E76" w:rsidRDefault="00151E76" w:rsidP="5339D8FC">
      <w:pPr>
        <w:pStyle w:val="paragraph"/>
        <w:spacing w:before="0" w:beforeAutospacing="0" w:after="0" w:afterAutospacing="0" w:line="480" w:lineRule="auto"/>
        <w:textAlignment w:val="baseline"/>
      </w:pPr>
      <w:r w:rsidRPr="5339D8FC">
        <w:rPr>
          <w:rStyle w:val="normaltextrun"/>
        </w:rPr>
        <w:t>VI.</w:t>
      </w:r>
      <w:r w:rsidRPr="5339D8FC">
        <w:rPr>
          <w:rStyle w:val="tabchar"/>
        </w:rPr>
        <w:t xml:space="preserve"> </w:t>
      </w:r>
      <w:r w:rsidRPr="5339D8FC">
        <w:rPr>
          <w:rStyle w:val="normaltextrun"/>
        </w:rPr>
        <w:t>Legal, Ethical, and Health Policy Implications</w:t>
      </w:r>
      <w:r w:rsidRPr="5339D8FC">
        <w:rPr>
          <w:rStyle w:val="eop"/>
        </w:rPr>
        <w:t> </w:t>
      </w:r>
    </w:p>
    <w:p w14:paraId="57932873" w14:textId="77777777" w:rsidR="00151E76" w:rsidRDefault="00151E76" w:rsidP="5339D8FC">
      <w:pPr>
        <w:pStyle w:val="paragraph"/>
        <w:spacing w:before="0" w:beforeAutospacing="0" w:after="0" w:afterAutospacing="0" w:line="480" w:lineRule="auto"/>
        <w:textAlignment w:val="baseline"/>
      </w:pPr>
      <w:r w:rsidRPr="5339D8FC">
        <w:rPr>
          <w:rStyle w:val="normaltextrun"/>
        </w:rPr>
        <w:t>VII.</w:t>
      </w:r>
      <w:r w:rsidRPr="5339D8FC">
        <w:rPr>
          <w:rStyle w:val="tabchar"/>
        </w:rPr>
        <w:t xml:space="preserve"> </w:t>
      </w:r>
      <w:r w:rsidRPr="5339D8FC">
        <w:rPr>
          <w:rStyle w:val="normaltextrun"/>
        </w:rPr>
        <w:t>Conclusion</w:t>
      </w:r>
      <w:r w:rsidRPr="5339D8FC">
        <w:rPr>
          <w:rStyle w:val="eop"/>
        </w:rPr>
        <w:t> </w:t>
      </w:r>
    </w:p>
    <w:p w14:paraId="5EF3F501" w14:textId="1640FBC0" w:rsidR="00151E76" w:rsidRPr="00151E76" w:rsidRDefault="00151E76" w:rsidP="5339D8FC">
      <w:pPr>
        <w:pStyle w:val="paragraph"/>
        <w:spacing w:before="0" w:beforeAutospacing="0" w:after="0" w:afterAutospacing="0" w:line="480" w:lineRule="auto"/>
        <w:textAlignment w:val="baseline"/>
      </w:pPr>
      <w:r w:rsidRPr="5339D8FC">
        <w:rPr>
          <w:rStyle w:val="normaltextrun"/>
        </w:rPr>
        <w:t>VIII.</w:t>
      </w:r>
      <w:r w:rsidRPr="5339D8FC">
        <w:rPr>
          <w:rStyle w:val="tabchar"/>
        </w:rPr>
        <w:t xml:space="preserve"> </w:t>
      </w:r>
      <w:r w:rsidRPr="5339D8FC">
        <w:rPr>
          <w:rStyle w:val="normaltextrun"/>
        </w:rPr>
        <w:t>References</w:t>
      </w:r>
      <w:r w:rsidRPr="5339D8FC">
        <w:rPr>
          <w:rStyle w:val="eop"/>
        </w:rPr>
        <w:t> </w:t>
      </w:r>
    </w:p>
    <w:p w14:paraId="6AC22504" w14:textId="59319A29" w:rsidR="00F91737" w:rsidRPr="00D86F68" w:rsidRDefault="00F91737" w:rsidP="5339D8FC">
      <w:pPr>
        <w:jc w:val="center"/>
        <w:rPr>
          <w:b/>
          <w:bCs/>
        </w:rPr>
      </w:pPr>
      <w:r w:rsidRPr="5339D8FC">
        <w:rPr>
          <w:b/>
          <w:bCs/>
        </w:rPr>
        <w:t>Complementary and Alternative Medicine</w:t>
      </w:r>
    </w:p>
    <w:p w14:paraId="3512E98A" w14:textId="77777777" w:rsidR="00F91737" w:rsidRPr="00740115" w:rsidRDefault="00F91737" w:rsidP="5339D8FC"/>
    <w:p w14:paraId="3A0F452D" w14:textId="67D96C6E" w:rsidR="00F91737" w:rsidRDefault="00F91737" w:rsidP="5339D8FC">
      <w:pPr>
        <w:spacing w:line="480" w:lineRule="auto"/>
        <w:ind w:firstLine="720"/>
      </w:pPr>
      <w:r w:rsidRPr="5339D8FC">
        <w:t xml:space="preserve">Complementary and alternative medicine (CAM) encompasses a broad range of non-allopathic philosophies, practices, and products. Complementary therapy refers to treatments that are used together with conventional medicine, while alternative medicine is therapeutic approaches done, in lieu, of conventional medicine. </w:t>
      </w:r>
      <w:r w:rsidR="00B6047D" w:rsidRPr="5339D8FC">
        <w:t>Berna et al. (2020) found that chronic illness</w:t>
      </w:r>
      <w:r w:rsidR="00AE167B" w:rsidRPr="5339D8FC">
        <w:t xml:space="preserve">, sociodemographic factors, </w:t>
      </w:r>
      <w:r w:rsidR="5AA99133" w:rsidRPr="5339D8FC">
        <w:t>beliefs,</w:t>
      </w:r>
      <w:r w:rsidR="00AE167B" w:rsidRPr="5339D8FC">
        <w:t xml:space="preserve"> and cultural norms are</w:t>
      </w:r>
      <w:r w:rsidR="00B6047D" w:rsidRPr="5339D8FC">
        <w:t xml:space="preserve"> driving factor</w:t>
      </w:r>
      <w:r w:rsidR="00AE167B" w:rsidRPr="5339D8FC">
        <w:t>s</w:t>
      </w:r>
      <w:r w:rsidR="00B6047D" w:rsidRPr="5339D8FC">
        <w:t xml:space="preserve"> for patients to consider CAM as an adjunct therapy to conventional medicine. </w:t>
      </w:r>
      <w:r w:rsidRPr="5339D8FC">
        <w:t>According to the National Center for Complementary and Alternative Medicine (NCCAM), complementary and alternative medicine can be further broken down into the following subgroups: alternative medical systems (acupuncture, ayurvedic, naturopathy, homeopathic, traditional Oriental medicine); mind-body interventions (prayer, aromatherapy, imagery, meditation, yoga): biologically based treatments (herbal therapies and special diets); manipulative and body based methods (chiropractic, massage, osteopathy); and, energy therapies such as reiki and therapeutic touch (Cherry &amp; Jacob, 201</w:t>
      </w:r>
      <w:r w:rsidR="00FE4F2B" w:rsidRPr="5339D8FC">
        <w:t>6</w:t>
      </w:r>
      <w:r w:rsidRPr="5339D8FC">
        <w:t>).</w:t>
      </w:r>
      <w:r w:rsidR="4E23587C" w:rsidRPr="5339D8FC">
        <w:t xml:space="preserve"> It is important to understand CAM practices and facilitate their use as a way to provide comprehensive healthcare and understand the complexities of the individuals that we encounter </w:t>
      </w:r>
      <w:r w:rsidR="4E23587C" w:rsidRPr="5339D8FC">
        <w:lastRenderedPageBreak/>
        <w:t>in our nursing practice. An understanding of CAM therapies facilitates health promotion and empower patients to take control in the management of their health. This knowledge also helps the nurse to provider culturally competent care – as CAM therapy is practiced throughout the world.</w:t>
      </w:r>
    </w:p>
    <w:p w14:paraId="1E0F64D2" w14:textId="66007771" w:rsidR="00151E76" w:rsidRDefault="00151E76" w:rsidP="5339D8FC">
      <w:pPr>
        <w:spacing w:line="480" w:lineRule="auto"/>
        <w:jc w:val="center"/>
        <w:textAlignment w:val="baseline"/>
      </w:pPr>
      <w:r w:rsidRPr="5339D8FC">
        <w:rPr>
          <w:rStyle w:val="normaltextrun"/>
          <w:b/>
          <w:bCs/>
        </w:rPr>
        <w:t>Objective</w:t>
      </w:r>
      <w:r w:rsidRPr="5339D8FC">
        <w:rPr>
          <w:rStyle w:val="eop"/>
        </w:rPr>
        <w:t> </w:t>
      </w:r>
    </w:p>
    <w:p w14:paraId="288B284A" w14:textId="1DD57EE4" w:rsidR="00151E76" w:rsidRPr="00740115" w:rsidRDefault="00151E76" w:rsidP="5339D8FC">
      <w:pPr>
        <w:pStyle w:val="paragraph"/>
        <w:spacing w:before="0" w:beforeAutospacing="0" w:after="0" w:afterAutospacing="0" w:line="480" w:lineRule="auto"/>
        <w:ind w:firstLine="720"/>
      </w:pPr>
      <w:r w:rsidRPr="79E65747">
        <w:rPr>
          <w:rStyle w:val="normaltextrun"/>
        </w:rPr>
        <w:t>The goal of this paper is to 1)</w:t>
      </w:r>
      <w:r w:rsidR="60D2165B" w:rsidRPr="79E65747">
        <w:rPr>
          <w:rStyle w:val="normaltextrun"/>
        </w:rPr>
        <w:t xml:space="preserve"> </w:t>
      </w:r>
      <w:r w:rsidR="33505435" w:rsidRPr="79E65747">
        <w:rPr>
          <w:rStyle w:val="normaltextrun"/>
        </w:rPr>
        <w:t>expand knowledge</w:t>
      </w:r>
      <w:r w:rsidR="60D2165B" w:rsidRPr="79E65747">
        <w:rPr>
          <w:rStyle w:val="normaltextrun"/>
        </w:rPr>
        <w:t xml:space="preserve"> of CAM</w:t>
      </w:r>
      <w:r w:rsidR="1C40F184" w:rsidRPr="79E65747">
        <w:rPr>
          <w:rStyle w:val="normaltextrun"/>
        </w:rPr>
        <w:t xml:space="preserve"> and its usage</w:t>
      </w:r>
      <w:r w:rsidRPr="79E65747">
        <w:rPr>
          <w:rStyle w:val="normaltextrun"/>
        </w:rPr>
        <w:t xml:space="preserve"> 2)</w:t>
      </w:r>
      <w:r w:rsidR="175C6B18" w:rsidRPr="79E65747">
        <w:rPr>
          <w:rStyle w:val="normaltextrun"/>
        </w:rPr>
        <w:t xml:space="preserve"> provide examples of neutraceuticals</w:t>
      </w:r>
      <w:r w:rsidRPr="79E65747">
        <w:rPr>
          <w:rStyle w:val="normaltextrun"/>
        </w:rPr>
        <w:t xml:space="preserve">, </w:t>
      </w:r>
      <w:r w:rsidR="00222C54" w:rsidRPr="79E65747">
        <w:rPr>
          <w:rStyle w:val="normaltextrun"/>
        </w:rPr>
        <w:t xml:space="preserve">and </w:t>
      </w:r>
      <w:r w:rsidRPr="79E65747">
        <w:rPr>
          <w:rStyle w:val="normaltextrun"/>
        </w:rPr>
        <w:t>3)</w:t>
      </w:r>
      <w:r w:rsidR="626DE6BC" w:rsidRPr="79E65747">
        <w:rPr>
          <w:rStyle w:val="normaltextrun"/>
        </w:rPr>
        <w:t xml:space="preserve"> highlight the value of CAM therapy and legal implications</w:t>
      </w:r>
      <w:r w:rsidRPr="79E65747">
        <w:rPr>
          <w:rStyle w:val="normaltextrun"/>
        </w:rPr>
        <w:t>.</w:t>
      </w:r>
      <w:r w:rsidRPr="79E65747">
        <w:rPr>
          <w:rStyle w:val="eop"/>
        </w:rPr>
        <w:t> </w:t>
      </w:r>
    </w:p>
    <w:p w14:paraId="566C6F94" w14:textId="663F556F" w:rsidR="45FFE53F" w:rsidRDefault="45FFE53F" w:rsidP="5339D8FC">
      <w:pPr>
        <w:pStyle w:val="paragraph"/>
        <w:spacing w:before="0" w:beforeAutospacing="0" w:after="0" w:afterAutospacing="0" w:line="480" w:lineRule="auto"/>
        <w:jc w:val="center"/>
        <w:rPr>
          <w:rStyle w:val="eop"/>
          <w:b/>
          <w:bCs/>
        </w:rPr>
      </w:pPr>
      <w:r w:rsidRPr="5339D8FC">
        <w:rPr>
          <w:rStyle w:val="normaltextrun"/>
          <w:b/>
          <w:bCs/>
        </w:rPr>
        <w:t>Theoretical and Research Perspective</w:t>
      </w:r>
    </w:p>
    <w:p w14:paraId="669C01FB" w14:textId="3A655AFF" w:rsidR="00F91737" w:rsidRDefault="00F91737" w:rsidP="5339D8FC">
      <w:pPr>
        <w:spacing w:line="480" w:lineRule="auto"/>
        <w:ind w:firstLine="720"/>
      </w:pPr>
      <w:r w:rsidRPr="5339D8FC">
        <w:rPr>
          <w:shd w:val="clear" w:color="auto" w:fill="FFFFFF"/>
        </w:rPr>
        <w:t xml:space="preserve">One such </w:t>
      </w:r>
      <w:r w:rsidR="00FE4F2B" w:rsidRPr="5339D8FC">
        <w:rPr>
          <w:shd w:val="clear" w:color="auto" w:fill="FFFFFF"/>
        </w:rPr>
        <w:t xml:space="preserve">therapy is </w:t>
      </w:r>
      <w:r w:rsidRPr="5339D8FC">
        <w:rPr>
          <w:shd w:val="clear" w:color="auto" w:fill="FFFFFF"/>
        </w:rPr>
        <w:t>religious and spiritual interventions (RSIs)</w:t>
      </w:r>
      <w:r w:rsidR="00FE4F2B" w:rsidRPr="5339D8FC">
        <w:rPr>
          <w:shd w:val="clear" w:color="auto" w:fill="FFFFFF"/>
        </w:rPr>
        <w:t xml:space="preserve"> practice the power of prayer, fellowship, and spiritual healing</w:t>
      </w:r>
      <w:r w:rsidRPr="5339D8FC">
        <w:rPr>
          <w:shd w:val="clear" w:color="auto" w:fill="FFFFFF"/>
        </w:rPr>
        <w:t>. McCaffrey, Eisenberg, and Legedza (2004) reported findings that indicated people who pray, profess a faith, and attend religious services are generally healthier and recover faster</w:t>
      </w:r>
      <w:r w:rsidR="06E8FB80" w:rsidRPr="5339D8FC">
        <w:rPr>
          <w:shd w:val="clear" w:color="auto" w:fill="FFFFFF"/>
        </w:rPr>
        <w:t xml:space="preserve"> </w:t>
      </w:r>
      <w:r w:rsidRPr="5339D8FC">
        <w:rPr>
          <w:shd w:val="clear" w:color="auto" w:fill="FFFFFF"/>
        </w:rPr>
        <w:t>t</w:t>
      </w:r>
      <w:r w:rsidR="7A53826C" w:rsidRPr="5339D8FC">
        <w:rPr>
          <w:shd w:val="clear" w:color="auto" w:fill="FFFFFF"/>
        </w:rPr>
        <w:t>o</w:t>
      </w:r>
      <w:r w:rsidRPr="5339D8FC">
        <w:rPr>
          <w:shd w:val="clear" w:color="auto" w:fill="FFFFFF"/>
        </w:rPr>
        <w:t xml:space="preserve">o. </w:t>
      </w:r>
      <w:r w:rsidR="00FE4F2B" w:rsidRPr="5339D8FC">
        <w:rPr>
          <w:shd w:val="clear" w:color="auto" w:fill="FFFFFF"/>
        </w:rPr>
        <w:t>This can happen in a variety of setting</w:t>
      </w:r>
      <w:r w:rsidR="74C59F9A" w:rsidRPr="5339D8FC">
        <w:rPr>
          <w:shd w:val="clear" w:color="auto" w:fill="FFFFFF"/>
        </w:rPr>
        <w:t>s</w:t>
      </w:r>
      <w:r w:rsidR="00FE4F2B" w:rsidRPr="5339D8FC">
        <w:rPr>
          <w:shd w:val="clear" w:color="auto" w:fill="FFFFFF"/>
        </w:rPr>
        <w:t xml:space="preserve"> such as during hospital </w:t>
      </w:r>
      <w:r w:rsidRPr="5339D8FC">
        <w:rPr>
          <w:shd w:val="clear" w:color="auto" w:fill="FFFFFF"/>
        </w:rPr>
        <w:t>visit prior to medical interventions, post-surgery, or at end-of-life to provide prayer and spiritual guidance. Even though Lucchetti and Vallada (2017), found only small effect sizes favoring RSIs in quality of life </w:t>
      </w:r>
      <w:r w:rsidRPr="5339D8FC">
        <w:t>and</w:t>
      </w:r>
      <w:r w:rsidRPr="5339D8FC">
        <w:rPr>
          <w:shd w:val="clear" w:color="auto" w:fill="FFFFFF"/>
        </w:rPr>
        <w:t xml:space="preserve"> pain outcomes compared to other complementary strategies, </w:t>
      </w:r>
      <w:r w:rsidR="3778F480" w:rsidRPr="5339D8FC">
        <w:rPr>
          <w:shd w:val="clear" w:color="auto" w:fill="FFFFFF"/>
        </w:rPr>
        <w:t>the patient perception that RSIs</w:t>
      </w:r>
      <w:r w:rsidRPr="5339D8FC">
        <w:rPr>
          <w:shd w:val="clear" w:color="auto" w:fill="FFFFFF"/>
        </w:rPr>
        <w:t xml:space="preserve"> motiva</w:t>
      </w:r>
      <w:r w:rsidR="77E9544D" w:rsidRPr="5339D8FC">
        <w:rPr>
          <w:shd w:val="clear" w:color="auto" w:fill="FFFFFF"/>
        </w:rPr>
        <w:t xml:space="preserve">te </w:t>
      </w:r>
      <w:r w:rsidR="48B769C7" w:rsidRPr="5339D8FC">
        <w:rPr>
          <w:shd w:val="clear" w:color="auto" w:fill="FFFFFF"/>
        </w:rPr>
        <w:t>individuals</w:t>
      </w:r>
      <w:r w:rsidRPr="5339D8FC">
        <w:rPr>
          <w:shd w:val="clear" w:color="auto" w:fill="FFFFFF"/>
        </w:rPr>
        <w:t xml:space="preserve"> to push </w:t>
      </w:r>
      <w:r w:rsidR="032F1723" w:rsidRPr="5339D8FC">
        <w:rPr>
          <w:shd w:val="clear" w:color="auto" w:fill="FFFFFF"/>
        </w:rPr>
        <w:t>themselves</w:t>
      </w:r>
      <w:r w:rsidRPr="5339D8FC">
        <w:rPr>
          <w:shd w:val="clear" w:color="auto" w:fill="FFFFFF"/>
        </w:rPr>
        <w:t xml:space="preserve"> to get well again</w:t>
      </w:r>
      <w:r w:rsidR="639873EB" w:rsidRPr="5339D8FC">
        <w:rPr>
          <w:shd w:val="clear" w:color="auto" w:fill="FFFFFF"/>
        </w:rPr>
        <w:t xml:space="preserve">. </w:t>
      </w:r>
      <w:r w:rsidRPr="5339D8FC">
        <w:rPr>
          <w:shd w:val="clear" w:color="auto" w:fill="FFFFFF"/>
        </w:rPr>
        <w:t xml:space="preserve">In the application of RSIs, </w:t>
      </w:r>
      <w:r w:rsidR="00FE4F2B" w:rsidRPr="5339D8FC">
        <w:rPr>
          <w:shd w:val="clear" w:color="auto" w:fill="FFFFFF"/>
        </w:rPr>
        <w:t xml:space="preserve">one must incorporate the variance in </w:t>
      </w:r>
      <w:r w:rsidR="00D5595D" w:rsidRPr="5339D8FC">
        <w:rPr>
          <w:shd w:val="clear" w:color="auto" w:fill="FFFFFF"/>
        </w:rPr>
        <w:t xml:space="preserve">and </w:t>
      </w:r>
      <w:r w:rsidRPr="5339D8FC">
        <w:rPr>
          <w:shd w:val="clear" w:color="auto" w:fill="FFFFFF"/>
        </w:rPr>
        <w:t>individual</w:t>
      </w:r>
      <w:r w:rsidR="00151E76" w:rsidRPr="5339D8FC">
        <w:rPr>
          <w:shd w:val="clear" w:color="auto" w:fill="FFFFFF"/>
        </w:rPr>
        <w:t>’</w:t>
      </w:r>
      <w:r w:rsidRPr="5339D8FC">
        <w:rPr>
          <w:shd w:val="clear" w:color="auto" w:fill="FFFFFF"/>
        </w:rPr>
        <w:t>s beli</w:t>
      </w:r>
      <w:r w:rsidR="00D5595D" w:rsidRPr="5339D8FC">
        <w:rPr>
          <w:shd w:val="clear" w:color="auto" w:fill="FFFFFF"/>
        </w:rPr>
        <w:t>ef</w:t>
      </w:r>
      <w:r w:rsidRPr="5339D8FC">
        <w:rPr>
          <w:shd w:val="clear" w:color="auto" w:fill="FFFFFF"/>
        </w:rPr>
        <w:t xml:space="preserve"> in the healing power of prayer. The nurse </w:t>
      </w:r>
      <w:r w:rsidR="00FE4F2B" w:rsidRPr="5339D8FC">
        <w:rPr>
          <w:shd w:val="clear" w:color="auto" w:fill="FFFFFF"/>
        </w:rPr>
        <w:t xml:space="preserve">practitioner </w:t>
      </w:r>
      <w:r w:rsidRPr="5339D8FC">
        <w:rPr>
          <w:shd w:val="clear" w:color="auto" w:fill="FFFFFF"/>
        </w:rPr>
        <w:t xml:space="preserve">should recognize their own beliefs and values and </w:t>
      </w:r>
      <w:r w:rsidR="00D5595D" w:rsidRPr="5339D8FC">
        <w:rPr>
          <w:shd w:val="clear" w:color="auto" w:fill="FFFFFF"/>
        </w:rPr>
        <w:t>can</w:t>
      </w:r>
      <w:r w:rsidRPr="5339D8FC">
        <w:rPr>
          <w:shd w:val="clear" w:color="auto" w:fill="FFFFFF"/>
        </w:rPr>
        <w:t xml:space="preserve"> </w:t>
      </w:r>
      <w:r w:rsidR="00D5595D" w:rsidRPr="5339D8FC">
        <w:rPr>
          <w:shd w:val="clear" w:color="auto" w:fill="FFFFFF"/>
        </w:rPr>
        <w:t>participate should they choose</w:t>
      </w:r>
      <w:r w:rsidRPr="5339D8FC">
        <w:rPr>
          <w:shd w:val="clear" w:color="auto" w:fill="FFFFFF"/>
        </w:rPr>
        <w:t>. However, if this request is contrary to their own beliefs, they could facilitate faith-based interventions by requesting the presence of the persons religious clergy.</w:t>
      </w:r>
      <w:r w:rsidR="0B24EC47" w:rsidRPr="5339D8FC">
        <w:rPr>
          <w:shd w:val="clear" w:color="auto" w:fill="FFFFFF"/>
        </w:rPr>
        <w:t xml:space="preserve"> </w:t>
      </w:r>
    </w:p>
    <w:p w14:paraId="669E6F66" w14:textId="6737E0C5" w:rsidR="00F91737" w:rsidRDefault="00F91737" w:rsidP="5339D8FC">
      <w:pPr>
        <w:spacing w:line="480" w:lineRule="auto"/>
        <w:ind w:firstLine="720"/>
      </w:pPr>
      <w:r w:rsidRPr="5339D8FC">
        <w:t xml:space="preserve">Reiki is an ancient healing art that originated in Japan and was later rediscovered by a Japanese Buddhist monk in the mid-1800’s. </w:t>
      </w:r>
      <w:r w:rsidR="0028251C" w:rsidRPr="5339D8FC">
        <w:t xml:space="preserve">Reiki practice proclaims healing without directly touching the patient or supplying some sort of antidote. </w:t>
      </w:r>
      <w:r w:rsidRPr="5339D8FC">
        <w:t>A Reiki healer channels energy in the form or auras and chakras from themselves and passes it along to others using a series of hand positions – holding each position for about 2 – 3 min. A total Reiki session generally last around ~45 minutes. Reiki followers believe this transmitted energy is useful in pain management, rehabilitation, hospice care, and general relaxation (Cherry &amp; Jacob, 201</w:t>
      </w:r>
      <w:r w:rsidR="0028251C" w:rsidRPr="5339D8FC">
        <w:t>6</w:t>
      </w:r>
      <w:r w:rsidRPr="5339D8FC">
        <w:t>).</w:t>
      </w:r>
      <w:r w:rsidR="0028251C" w:rsidRPr="5339D8FC">
        <w:t xml:space="preserve"> </w:t>
      </w:r>
      <w:r w:rsidRPr="5339D8FC">
        <w:t>Reiki therapy is comparable to religious and spiritual interventions (RSIs) in that there is no way to quantify the amount of healing, but the reflection of its benefits is apparent in the perception of those individuals treated. Studies conducted by Notte</w:t>
      </w:r>
      <w:r w:rsidR="0028251C" w:rsidRPr="5339D8FC">
        <w:t xml:space="preserve"> et al.</w:t>
      </w:r>
      <w:r w:rsidR="0EFCD166" w:rsidRPr="5339D8FC">
        <w:t>,</w:t>
      </w:r>
      <w:r w:rsidR="0028251C" w:rsidRPr="5339D8FC">
        <w:t xml:space="preserve"> (2016) </w:t>
      </w:r>
      <w:r w:rsidRPr="5339D8FC">
        <w:t>aimed to determine the effect on Reiki therapy on pain perception of post-arthroplasty patients and found that patients responded positively to Reiki therapy</w:t>
      </w:r>
      <w:r w:rsidR="0028251C" w:rsidRPr="5339D8FC">
        <w:t>.</w:t>
      </w:r>
    </w:p>
    <w:p w14:paraId="2ECFC910" w14:textId="24342287" w:rsidR="00FE4F2B" w:rsidRDefault="00FE4F2B" w:rsidP="5339D8FC">
      <w:pPr>
        <w:spacing w:line="480" w:lineRule="auto"/>
        <w:ind w:firstLine="720"/>
      </w:pPr>
      <w:r w:rsidRPr="5339D8FC">
        <w:t xml:space="preserve">Herbal supplements can also pose danger to those who ingest it. Plant based therapies </w:t>
      </w:r>
      <w:r w:rsidR="5D2B68E0" w:rsidRPr="5339D8FC">
        <w:t>s</w:t>
      </w:r>
      <w:r w:rsidRPr="5339D8FC">
        <w:t xml:space="preserve">uch as Digoxin, Atropine, and Reserpine have been used for many years in conjunction with conventional medicine and has been useful as a derivative in medications (Cherry &amp; Jacobs, 2016). Herbal remedies have become increasing popular in today’s times, as herbal supplements are readily available at your local grocers and in shops such as GNC, and through companies like Herbalife. One such cause for concern, however, is that many individuals believe that because something is natural, that it is not harmful. In holding such beliefs to be true, it is easy to see the potential for abuse and misuse. Many individuals are unaware that when taken in large quantities, herbal supplements can cause liver and kidney damage </w:t>
      </w:r>
      <w:r w:rsidR="07028166" w:rsidRPr="5339D8FC">
        <w:t xml:space="preserve">and </w:t>
      </w:r>
      <w:r w:rsidRPr="5339D8FC">
        <w:t>also interfere with certain medications</w:t>
      </w:r>
      <w:r w:rsidR="05DB6238" w:rsidRPr="5339D8FC">
        <w:t xml:space="preserve">. </w:t>
      </w:r>
      <w:r w:rsidRPr="5339D8FC">
        <w:t>One such study conducted by Legrand et al.</w:t>
      </w:r>
      <w:r w:rsidR="3C60A420" w:rsidRPr="5339D8FC">
        <w:t>,</w:t>
      </w:r>
      <w:r w:rsidRPr="5339D8FC">
        <w:t xml:space="preserve"> (2014) determined that a common South Asian herbal medicine, Tinospora crispa, caused acute hepatitis in patients with long term use. Their conclusions consistently showed a toxic reaction when taken long term and they found that recovery was possible after discontinuation. This case and others highlight the need for nurses to be versed in types of available herbal supplements </w:t>
      </w:r>
      <w:r w:rsidR="3E4EA9A5" w:rsidRPr="5339D8FC">
        <w:t>and</w:t>
      </w:r>
      <w:r w:rsidRPr="5339D8FC">
        <w:t xml:space="preserve"> supports the need for nurses to inquire about the use of herbal supplements when completing medication reconciliation.</w:t>
      </w:r>
    </w:p>
    <w:p w14:paraId="4310CABE" w14:textId="2C79EF90" w:rsidR="00B6047D" w:rsidRDefault="00B6047D" w:rsidP="5339D8FC">
      <w:pPr>
        <w:spacing w:line="480" w:lineRule="auto"/>
        <w:jc w:val="center"/>
        <w:rPr>
          <w:b/>
          <w:bCs/>
        </w:rPr>
      </w:pPr>
      <w:r w:rsidRPr="5339D8FC">
        <w:rPr>
          <w:b/>
          <w:bCs/>
        </w:rPr>
        <w:t>Epidemiology</w:t>
      </w:r>
    </w:p>
    <w:p w14:paraId="5CE820B5" w14:textId="532EC8E6" w:rsidR="00B6047D" w:rsidRPr="00C44D98" w:rsidRDefault="0EA8F4B7" w:rsidP="5339D8FC">
      <w:pPr>
        <w:spacing w:line="480" w:lineRule="auto"/>
        <w:ind w:firstLine="720"/>
      </w:pPr>
      <w:r w:rsidRPr="5339D8FC">
        <w:t xml:space="preserve">It is estimated that more </w:t>
      </w:r>
      <w:r w:rsidR="62369ECB" w:rsidRPr="5339D8FC">
        <w:t>than</w:t>
      </w:r>
      <w:r w:rsidRPr="5339D8FC">
        <w:t xml:space="preserve"> two thirds of the </w:t>
      </w:r>
      <w:r w:rsidR="5E635F8B" w:rsidRPr="5339D8FC">
        <w:t>world's</w:t>
      </w:r>
      <w:r w:rsidRPr="5339D8FC">
        <w:t xml:space="preserve"> population </w:t>
      </w:r>
      <w:r w:rsidR="7E4FEAB1" w:rsidRPr="5339D8FC">
        <w:t>use</w:t>
      </w:r>
      <w:r w:rsidRPr="5339D8FC">
        <w:t xml:space="preserve"> CAM therapy with 53 percent of Americans reporting use </w:t>
      </w:r>
      <w:r w:rsidR="0F2D26D9" w:rsidRPr="5339D8FC">
        <w:t xml:space="preserve">of CAM at some point in their lives </w:t>
      </w:r>
      <w:r w:rsidRPr="5339D8FC">
        <w:t xml:space="preserve">(Prender et al., 2016). </w:t>
      </w:r>
      <w:r w:rsidR="00AE167B" w:rsidRPr="5339D8FC">
        <w:t>In a study of cancer patients</w:t>
      </w:r>
      <w:r w:rsidR="265DA7F3" w:rsidRPr="5339D8FC">
        <w:t xml:space="preserve"> in Trinidad and Tobago</w:t>
      </w:r>
      <w:r w:rsidR="00AE167B" w:rsidRPr="5339D8FC">
        <w:t>, it was determined that 96% used nonpharmacologic CAM and 4% used pharmacologic CAM</w:t>
      </w:r>
      <w:r w:rsidR="2A453ED9" w:rsidRPr="5339D8FC">
        <w:t xml:space="preserve"> </w:t>
      </w:r>
      <w:r w:rsidR="6958ECB4" w:rsidRPr="5339D8FC">
        <w:t xml:space="preserve">(Behall, 2017). </w:t>
      </w:r>
      <w:r w:rsidR="2DB2D3CD" w:rsidRPr="5339D8FC">
        <w:t>Brazil had a prevalence of 4.5% use of CAM with the upper classes utilizing acupuncture and ho</w:t>
      </w:r>
      <w:r w:rsidR="194E410C" w:rsidRPr="5339D8FC">
        <w:t>meopathy compared to the lower classes using plants and herbal medicines (Boccolini &amp; Bocco</w:t>
      </w:r>
      <w:r w:rsidR="1613D94D" w:rsidRPr="5339D8FC">
        <w:t>lini, 2020)</w:t>
      </w:r>
      <w:r w:rsidR="2DB2D3CD" w:rsidRPr="5339D8FC">
        <w:t>.</w:t>
      </w:r>
    </w:p>
    <w:p w14:paraId="629F3F8C" w14:textId="7C4C9589" w:rsidR="6A6B5B0D" w:rsidRDefault="6A6B5B0D" w:rsidP="5339D8FC">
      <w:pPr>
        <w:spacing w:line="480" w:lineRule="auto"/>
        <w:ind w:firstLine="720"/>
      </w:pPr>
      <w:r w:rsidRPr="79E65747">
        <w:t>The use of CAM is becoming more common, in various parts of the world. A unique cross-cultural was study was done in 2015, and this study included surveying students who attended universities in Atlanta (Unites States), New Delhi (India), and Newcastle upon Tyne (United Kingdom). This study was done to identify the prevalence and perspective of CAM in three diverse societies with distinct healthcare systems. The study took place in 2015 from May to November. During that time 314 surveys were collected. Dietary and vitamins were used the most, followed by meditation, yoga, and massage. When electing a CAM practice</w:t>
      </w:r>
      <w:r w:rsidR="185E41B4" w:rsidRPr="79E65747">
        <w:t>,</w:t>
      </w:r>
      <w:r w:rsidRPr="79E65747">
        <w:t xml:space="preserve"> students based their preference on science and evidence. Students in India viewed CAM as a more practical alternative to traditional medicine (Subramanian, et al., 2016).  </w:t>
      </w:r>
    </w:p>
    <w:p w14:paraId="61456A7E" w14:textId="55735969" w:rsidR="6A6B5B0D" w:rsidRDefault="6A6B5B0D" w:rsidP="5339D8FC">
      <w:pPr>
        <w:spacing w:line="480" w:lineRule="auto"/>
      </w:pPr>
      <w:r w:rsidRPr="5339D8FC">
        <w:t xml:space="preserve">            Data collected from the 2012 Physician Induction Interview of the National Ambulatory Medical Care Survey (NAMCS PII) showed 53.1% of physicians in the Unites States recommended CAM to patients over a 12-month period. Female physicians recommended every individual CAM at a higher rate than male physicians. However, male physicians recommended chiropractic/osteopathic manipulation at a higher rate than female physicians.</w:t>
      </w:r>
    </w:p>
    <w:p w14:paraId="651FD1B5" w14:textId="03A174F4" w:rsidR="6A6B5B0D" w:rsidRDefault="6A6B5B0D" w:rsidP="5339D8FC">
      <w:pPr>
        <w:spacing w:line="480" w:lineRule="auto"/>
      </w:pPr>
      <w:r w:rsidRPr="5339D8FC">
        <w:t>General and family practitioners were more prone to recommend any CAM than several physician specialties; pediatricians were less likely. General and family practitioners recommended chiropractic/osteopathic manipulation and massage therapy at a higher rate than acupuncture, yoga, or mind–body therapies. On the other hand, psychiatrists recommended mind–body therapies more frequently than any other CAM, and pediatricians most frequently recommended herbs and nonvitamin supplements (Stussman, et al., 2020).</w:t>
      </w:r>
    </w:p>
    <w:p w14:paraId="6EB226A0" w14:textId="7C6FADF8" w:rsidR="3FA787F5" w:rsidRDefault="3FA787F5" w:rsidP="5339D8FC">
      <w:pPr>
        <w:pStyle w:val="paragraph"/>
        <w:spacing w:before="0" w:beforeAutospacing="0" w:after="0" w:afterAutospacing="0" w:line="480" w:lineRule="auto"/>
        <w:jc w:val="center"/>
      </w:pPr>
      <w:r w:rsidRPr="5339D8FC">
        <w:rPr>
          <w:rStyle w:val="normaltextrun"/>
          <w:b/>
          <w:bCs/>
        </w:rPr>
        <w:t>At Risks Population</w:t>
      </w:r>
      <w:r w:rsidRPr="5339D8FC">
        <w:rPr>
          <w:rStyle w:val="normaltextrun"/>
        </w:rPr>
        <w:t> </w:t>
      </w:r>
    </w:p>
    <w:p w14:paraId="7B142DA0" w14:textId="6CDC6763" w:rsidR="3FA787F5" w:rsidRDefault="206EB394" w:rsidP="5339D8FC">
      <w:pPr>
        <w:spacing w:line="480" w:lineRule="auto"/>
        <w:ind w:firstLine="720"/>
      </w:pPr>
      <w:r w:rsidRPr="5339D8FC">
        <w:t>People living with chronic conditions frequently use CAM for self-care and disease management. Data collected from a 2012 National Health Interview Survey (NHIS) showed those who two or more chronic conditions were more likely to use multivitamins, or multiminerals, or both, vitamins, minerals, nonvitamins or herbs, mind-body therapies, chiropractic or osteopathic manipulation, massage, movement therapies, special diets, acupuncture, naturopathy, or some combination of these therapies (Falci, et al., 2016).</w:t>
      </w:r>
    </w:p>
    <w:p w14:paraId="7908043D" w14:textId="322E8B52" w:rsidR="3FA787F5" w:rsidRDefault="206EB394" w:rsidP="5339D8FC">
      <w:pPr>
        <w:spacing w:line="480" w:lineRule="auto"/>
      </w:pPr>
      <w:r w:rsidRPr="5339D8FC">
        <w:t xml:space="preserve">            In January 2016, a web-based survey study was conducted by TNS Gallup Health policy Barometer. The purpose of this study was to show the prevalence and characteristics of those who participated in the study intent to see a CAM provider compared to those participants who intended to see a medical doctor only when suffering from a chronic, non- life-threatening disease and in the need of treatment. The study revealed the average user of a CAM provider is a young to middle aged women, who is well educated, and seeks a CAM provider for various reasons. The reasons included: seeking a holistic treatment, wants to take part in the treatment, trust CAM providers more than traditional healthcare providers, or because of distrust in traditional care. Furthermore, she may prefer the use of natural products with less adverse effects to maintain quality of life or others may recommended CAM treatment options. (Kristoffersen, et al., 2018).</w:t>
      </w:r>
    </w:p>
    <w:p w14:paraId="1AE22952" w14:textId="6E8E82D0" w:rsidR="3FA787F5" w:rsidRDefault="3FA787F5" w:rsidP="5339D8FC">
      <w:pPr>
        <w:pStyle w:val="paragraph"/>
        <w:spacing w:before="0" w:beforeAutospacing="0" w:after="0" w:afterAutospacing="0" w:line="480" w:lineRule="auto"/>
        <w:jc w:val="center"/>
      </w:pPr>
      <w:r w:rsidRPr="5339D8FC">
        <w:rPr>
          <w:rStyle w:val="normaltextrun"/>
          <w:b/>
          <w:bCs/>
        </w:rPr>
        <w:t>Legal, Ethical, and Health Policy Implications</w:t>
      </w:r>
      <w:r w:rsidRPr="5339D8FC">
        <w:rPr>
          <w:rStyle w:val="normaltextrun"/>
        </w:rPr>
        <w:t> </w:t>
      </w:r>
    </w:p>
    <w:p w14:paraId="496ECF10" w14:textId="05774F05" w:rsidR="7D59725A" w:rsidRDefault="3EA13C43" w:rsidP="5339D8FC">
      <w:pPr>
        <w:spacing w:line="480" w:lineRule="auto"/>
        <w:ind w:firstLine="720"/>
      </w:pPr>
      <w:r w:rsidRPr="5339D8FC">
        <w:t xml:space="preserve">A few CAM therapies and practices have been carefully evaluated and have been found to be mostly safe and effective. These certain CAM therapies and practices include acupuncture, yoga, and meditation. Nevertheless, some do not work, and may even be harmful or could interfere with the therapeutic effects of certain medications. Natural does not always mean safe. Complementary and alternative medicine consists of herbals, dietary supplements, and vitamins. These products do not have to be approved by the Food and Drug Administration (FDA) prior to being sold to the public and a prescription is not needed to purchase these items. Therefore, it is extremely important to carefully research all CAM therapies and consult with a healthcare provider prior to consuming these products (National Cancer Institute, 2020). </w:t>
      </w:r>
    </w:p>
    <w:p w14:paraId="5B75D0CF" w14:textId="4BFA8E8C" w:rsidR="7D59725A" w:rsidRDefault="3EA13C43" w:rsidP="5339D8FC">
      <w:pPr>
        <w:spacing w:line="480" w:lineRule="auto"/>
      </w:pPr>
      <w:r w:rsidRPr="5339D8FC">
        <w:t xml:space="preserve">            A CAM Research Guide can be found on the Georgetown Law Library website and it includes information regarding: Laws and Regulations (Food and Drug Administration), which provide information regarding the laws and regulations enforced by the FDA. Industry Regulation (Council for Responsible Nutrition) provides summaries and analyses of legislation and regulations that would affect the dietary supplement industry. The Legislative Action Center (American Chiropractic Association) is a resource for new legislation concerning chiropractic practices. State legislation is also responsible for enforcing regulations on CAM therapies and practices. Some states are further ahead in regulating CAM therapies and practices than other states (Georgetown Law Library, 2021).</w:t>
      </w:r>
    </w:p>
    <w:p w14:paraId="4D66764C" w14:textId="7DEE2896" w:rsidR="7D59725A" w:rsidRDefault="7D59725A" w:rsidP="5339D8FC">
      <w:pPr>
        <w:spacing w:line="480" w:lineRule="auto"/>
        <w:jc w:val="center"/>
        <w:rPr>
          <w:b/>
          <w:bCs/>
        </w:rPr>
      </w:pPr>
    </w:p>
    <w:p w14:paraId="00A0D7C3" w14:textId="51D7EEE3" w:rsidR="7D59725A" w:rsidRDefault="7D59725A" w:rsidP="5339D8FC">
      <w:pPr>
        <w:spacing w:line="480" w:lineRule="auto"/>
        <w:jc w:val="center"/>
        <w:rPr>
          <w:b/>
          <w:bCs/>
        </w:rPr>
      </w:pPr>
    </w:p>
    <w:p w14:paraId="22493AB6" w14:textId="6EC38A53" w:rsidR="7D59725A" w:rsidRDefault="7D59725A" w:rsidP="5339D8FC">
      <w:pPr>
        <w:spacing w:line="480" w:lineRule="auto"/>
        <w:jc w:val="center"/>
      </w:pPr>
      <w:r w:rsidRPr="5339D8FC">
        <w:rPr>
          <w:b/>
          <w:bCs/>
        </w:rPr>
        <w:t>Conclusion</w:t>
      </w:r>
    </w:p>
    <w:p w14:paraId="79256C84" w14:textId="4AAC4474" w:rsidR="00F91737" w:rsidRPr="00C44D98" w:rsidRDefault="1B48C358" w:rsidP="5339D8FC">
      <w:pPr>
        <w:spacing w:line="480" w:lineRule="auto"/>
        <w:ind w:firstLine="720"/>
        <w:rPr>
          <w:b/>
          <w:bCs/>
        </w:rPr>
      </w:pPr>
      <w:r w:rsidRPr="79E65747">
        <w:rPr>
          <w:color w:val="000000" w:themeColor="text1"/>
        </w:rPr>
        <w:t>Complementary and alternative medicine include, alternative medical systems mind-body interventions, biologically based treatments, manipulative and body-based methods, and energy therapies</w:t>
      </w:r>
      <w:r w:rsidRPr="79E65747">
        <w:rPr>
          <w:rFonts w:ascii="Calibri" w:eastAsia="Calibri" w:hAnsi="Calibri" w:cs="Calibri"/>
          <w:sz w:val="22"/>
          <w:szCs w:val="22"/>
        </w:rPr>
        <w:t xml:space="preserve">. </w:t>
      </w:r>
      <w:r w:rsidR="70FC156C" w:rsidRPr="79E65747">
        <w:rPr>
          <w:color w:val="000000" w:themeColor="text1"/>
        </w:rPr>
        <w:t xml:space="preserve">It is important to understand CAM practices and facilitate their use </w:t>
      </w:r>
      <w:r w:rsidR="70FC156C" w:rsidRPr="79E65747">
        <w:t>as a way to provide comprehensive healthcare and understand the complexities of the individuals that we encounter in our nursing practice.</w:t>
      </w:r>
      <w:r w:rsidR="70FC156C" w:rsidRPr="79E65747">
        <w:rPr>
          <w:color w:val="000000" w:themeColor="text1"/>
        </w:rPr>
        <w:t xml:space="preserve"> </w:t>
      </w:r>
      <w:r w:rsidRPr="79E65747">
        <w:rPr>
          <w:color w:val="000000" w:themeColor="text1"/>
        </w:rPr>
        <w:t xml:space="preserve">The use of CAM therapies </w:t>
      </w:r>
      <w:r w:rsidR="69523659" w:rsidRPr="79E65747">
        <w:rPr>
          <w:color w:val="000000" w:themeColor="text1"/>
        </w:rPr>
        <w:t>is</w:t>
      </w:r>
      <w:r w:rsidRPr="79E65747">
        <w:rPr>
          <w:color w:val="000000" w:themeColor="text1"/>
        </w:rPr>
        <w:t xml:space="preserve"> becoming more popular, especially among young to middle age </w:t>
      </w:r>
      <w:r w:rsidR="68A69D77" w:rsidRPr="79E65747">
        <w:rPr>
          <w:color w:val="000000" w:themeColor="text1"/>
        </w:rPr>
        <w:t xml:space="preserve">women </w:t>
      </w:r>
      <w:r w:rsidRPr="79E65747">
        <w:rPr>
          <w:color w:val="000000" w:themeColor="text1"/>
        </w:rPr>
        <w:t>and those who have chronic long-term conditions.</w:t>
      </w:r>
      <w:r w:rsidR="59B5A64E" w:rsidRPr="79E65747">
        <w:t xml:space="preserve"> </w:t>
      </w:r>
      <w:r w:rsidRPr="79E65747">
        <w:rPr>
          <w:color w:val="000000" w:themeColor="text1"/>
        </w:rPr>
        <w:t xml:space="preserve">It is imperative those who use CAM inform their healthcare providers to ensure their use does not interfere with current medical treatments or cause acute or chronic organ damage. </w:t>
      </w:r>
      <w:r w:rsidR="394DD764" w:rsidRPr="79E65747">
        <w:rPr>
          <w:color w:val="000000" w:themeColor="text1"/>
        </w:rPr>
        <w:t xml:space="preserve">Additionally, </w:t>
      </w:r>
      <w:r w:rsidRPr="79E65747">
        <w:rPr>
          <w:color w:val="000000" w:themeColor="text1"/>
        </w:rPr>
        <w:t xml:space="preserve">since </w:t>
      </w:r>
      <w:r w:rsidR="0D6E98E3" w:rsidRPr="79E65747">
        <w:rPr>
          <w:color w:val="000000" w:themeColor="text1"/>
        </w:rPr>
        <w:t>many</w:t>
      </w:r>
      <w:r w:rsidRPr="79E65747">
        <w:rPr>
          <w:color w:val="000000" w:themeColor="text1"/>
        </w:rPr>
        <w:t xml:space="preserve"> CAM therapies are not regulated by the FDA user of CAM therapies need to do thorough research on the CAM therapies, they are considering incorporating into their health care regimen</w:t>
      </w:r>
      <w:r w:rsidR="21C336EF" w:rsidRPr="79E65747">
        <w:rPr>
          <w:color w:val="000000" w:themeColor="text1"/>
        </w:rPr>
        <w:t xml:space="preserve">. </w:t>
      </w:r>
      <w:r w:rsidRPr="79E65747">
        <w:rPr>
          <w:color w:val="000000" w:themeColor="text1"/>
        </w:rPr>
        <w:t>Furthermore, it would behoove healthcare providers to have some knowledge of CAM therapies to provide their patients with safe, holistic</w:t>
      </w:r>
      <w:r w:rsidR="59DE53AE" w:rsidRPr="79E65747">
        <w:rPr>
          <w:color w:val="000000" w:themeColor="text1"/>
        </w:rPr>
        <w:t>, culturally competent</w:t>
      </w:r>
      <w:r w:rsidRPr="79E65747">
        <w:rPr>
          <w:color w:val="000000" w:themeColor="text1"/>
        </w:rPr>
        <w:t xml:space="preserve"> care</w:t>
      </w:r>
      <w:r w:rsidR="2B958E61" w:rsidRPr="79E65747">
        <w:rPr>
          <w:color w:val="000000" w:themeColor="text1"/>
        </w:rPr>
        <w:t xml:space="preserve">. </w:t>
      </w:r>
    </w:p>
    <w:p w14:paraId="2C00D1A2" w14:textId="1CE68B42" w:rsidR="79E65747" w:rsidRDefault="79E65747" w:rsidP="79E65747">
      <w:pPr>
        <w:spacing w:line="480" w:lineRule="auto"/>
        <w:ind w:firstLine="720"/>
        <w:rPr>
          <w:color w:val="000000" w:themeColor="text1"/>
        </w:rPr>
      </w:pPr>
    </w:p>
    <w:p w14:paraId="592FCB56" w14:textId="185F0682" w:rsidR="79E65747" w:rsidRDefault="79E65747" w:rsidP="79E65747">
      <w:pPr>
        <w:spacing w:line="480" w:lineRule="auto"/>
        <w:ind w:firstLine="720"/>
        <w:rPr>
          <w:color w:val="000000" w:themeColor="text1"/>
        </w:rPr>
      </w:pPr>
    </w:p>
    <w:p w14:paraId="56B8418E" w14:textId="7ED30EE2" w:rsidR="79E65747" w:rsidRDefault="79E65747" w:rsidP="79E65747">
      <w:pPr>
        <w:spacing w:line="480" w:lineRule="auto"/>
        <w:ind w:firstLine="720"/>
        <w:rPr>
          <w:color w:val="000000" w:themeColor="text1"/>
        </w:rPr>
      </w:pPr>
    </w:p>
    <w:p w14:paraId="50F9065F" w14:textId="776DCC13" w:rsidR="79E65747" w:rsidRDefault="79E65747" w:rsidP="79E65747">
      <w:pPr>
        <w:spacing w:line="480" w:lineRule="auto"/>
        <w:ind w:firstLine="720"/>
        <w:rPr>
          <w:color w:val="000000" w:themeColor="text1"/>
        </w:rPr>
      </w:pPr>
    </w:p>
    <w:p w14:paraId="4B3A28E3" w14:textId="50F896EA" w:rsidR="79E65747" w:rsidRDefault="79E65747" w:rsidP="79E65747">
      <w:pPr>
        <w:spacing w:line="480" w:lineRule="auto"/>
        <w:ind w:firstLine="720"/>
        <w:rPr>
          <w:color w:val="000000" w:themeColor="text1"/>
        </w:rPr>
      </w:pPr>
    </w:p>
    <w:p w14:paraId="7F1C4C11" w14:textId="753ACFE7" w:rsidR="79E65747" w:rsidRDefault="79E65747" w:rsidP="79E65747">
      <w:pPr>
        <w:spacing w:line="480" w:lineRule="auto"/>
        <w:ind w:firstLine="720"/>
        <w:rPr>
          <w:color w:val="000000" w:themeColor="text1"/>
        </w:rPr>
      </w:pPr>
    </w:p>
    <w:p w14:paraId="1F865AB0" w14:textId="68E0393B" w:rsidR="79E65747" w:rsidRDefault="79E65747" w:rsidP="79E65747">
      <w:pPr>
        <w:spacing w:line="480" w:lineRule="auto"/>
        <w:ind w:firstLine="720"/>
        <w:rPr>
          <w:color w:val="000000" w:themeColor="text1"/>
        </w:rPr>
      </w:pPr>
    </w:p>
    <w:p w14:paraId="3A2189AF" w14:textId="618880D1" w:rsidR="79E65747" w:rsidRDefault="79E65747" w:rsidP="79E65747">
      <w:pPr>
        <w:spacing w:line="480" w:lineRule="auto"/>
        <w:ind w:firstLine="720"/>
        <w:rPr>
          <w:color w:val="000000" w:themeColor="text1"/>
        </w:rPr>
      </w:pPr>
    </w:p>
    <w:p w14:paraId="7DE42295" w14:textId="68FD7681" w:rsidR="79E65747" w:rsidRDefault="79E65747" w:rsidP="79E65747">
      <w:pPr>
        <w:spacing w:line="480" w:lineRule="auto"/>
        <w:ind w:firstLine="720"/>
        <w:rPr>
          <w:color w:val="000000" w:themeColor="text1"/>
        </w:rPr>
      </w:pPr>
    </w:p>
    <w:p w14:paraId="6ECCCD11" w14:textId="0143AC5E" w:rsidR="79E65747" w:rsidRDefault="79E65747" w:rsidP="79E65747">
      <w:pPr>
        <w:spacing w:line="480" w:lineRule="auto"/>
        <w:ind w:firstLine="720"/>
        <w:rPr>
          <w:color w:val="000000" w:themeColor="text1"/>
        </w:rPr>
      </w:pPr>
    </w:p>
    <w:p w14:paraId="28E084F1" w14:textId="7F1DCA53" w:rsidR="79E65747" w:rsidRDefault="79E65747" w:rsidP="79E65747">
      <w:pPr>
        <w:spacing w:line="480" w:lineRule="auto"/>
        <w:ind w:firstLine="720"/>
        <w:rPr>
          <w:color w:val="000000" w:themeColor="text1"/>
        </w:rPr>
      </w:pPr>
    </w:p>
    <w:p w14:paraId="67247E95" w14:textId="514BC221" w:rsidR="00F91737" w:rsidRPr="00C44D98" w:rsidRDefault="00F91737" w:rsidP="5339D8FC">
      <w:pPr>
        <w:spacing w:line="480" w:lineRule="auto"/>
        <w:jc w:val="center"/>
        <w:rPr>
          <w:b/>
          <w:bCs/>
        </w:rPr>
      </w:pPr>
      <w:r w:rsidRPr="79E65747">
        <w:rPr>
          <w:b/>
          <w:bCs/>
        </w:rPr>
        <w:t>References</w:t>
      </w:r>
    </w:p>
    <w:p w14:paraId="071CCC1A" w14:textId="1A65BE74" w:rsidR="00B6047D" w:rsidRDefault="2C0F6AB5" w:rsidP="79E65747">
      <w:pPr>
        <w:spacing w:line="480" w:lineRule="auto"/>
        <w:ind w:left="720" w:hanging="720"/>
      </w:pPr>
      <w:r w:rsidRPr="79E65747">
        <w:t xml:space="preserve">Behall, M. (2017). Prevalence, patterns, and perceived value of complementary and alternative medicine among cancer patients: a cross-sectional, descriptive study. BMC Complement Altern Med,17(1):345. doi: 10.1186/s12906-017-1853-6. </w:t>
      </w:r>
    </w:p>
    <w:p w14:paraId="7105B48E" w14:textId="310D3CBA" w:rsidR="00B6047D" w:rsidRDefault="00B6047D" w:rsidP="5339D8FC">
      <w:pPr>
        <w:spacing w:line="480" w:lineRule="auto"/>
        <w:ind w:left="720" w:hanging="720"/>
      </w:pPr>
      <w:r w:rsidRPr="5339D8FC">
        <w:rPr>
          <w:shd w:val="clear" w:color="auto" w:fill="FFFFFF"/>
        </w:rPr>
        <w:t>Berna, F., Göritz, A. S., Mengin, A., Evrard, R., Kopferschmitt, J., &amp; Moritz, S. (2019). Alternative or complementary attitudes toward alternative and complementary medicines. </w:t>
      </w:r>
      <w:r w:rsidRPr="79E65747">
        <w:rPr>
          <w:i/>
          <w:iCs/>
          <w:shd w:val="clear" w:color="auto" w:fill="FFFFFF"/>
        </w:rPr>
        <w:t>BMC complementary and alternative medicine</w:t>
      </w:r>
      <w:r w:rsidRPr="5339D8FC">
        <w:rPr>
          <w:shd w:val="clear" w:color="auto" w:fill="FFFFFF"/>
        </w:rPr>
        <w:t>, </w:t>
      </w:r>
      <w:r w:rsidRPr="79E65747">
        <w:rPr>
          <w:i/>
          <w:iCs/>
          <w:shd w:val="clear" w:color="auto" w:fill="FFFFFF"/>
        </w:rPr>
        <w:t>19</w:t>
      </w:r>
      <w:r w:rsidRPr="5339D8FC">
        <w:rPr>
          <w:shd w:val="clear" w:color="auto" w:fill="FFFFFF"/>
        </w:rPr>
        <w:t xml:space="preserve">(1), 83. </w:t>
      </w:r>
      <w:hyperlink r:id="rId8">
        <w:r w:rsidRPr="5339D8FC">
          <w:rPr>
            <w:rStyle w:val="Hyperlink"/>
            <w:color w:val="auto"/>
            <w:u w:val="none"/>
          </w:rPr>
          <w:t>https://doi.org/10.1186/s12906-019-2490-z</w:t>
        </w:r>
      </w:hyperlink>
    </w:p>
    <w:p w14:paraId="55E6D42B" w14:textId="56EFD53B" w:rsidR="00B6047D" w:rsidRDefault="222D2C9A" w:rsidP="5339D8FC">
      <w:pPr>
        <w:spacing w:line="480" w:lineRule="auto"/>
        <w:ind w:left="720" w:hanging="720"/>
        <w:rPr>
          <w:u w:val="single"/>
        </w:rPr>
      </w:pPr>
      <w:r w:rsidRPr="79E65747">
        <w:t>Boccolini</w:t>
      </w:r>
      <w:r w:rsidR="1FA69E56" w:rsidRPr="79E65747">
        <w:t>, P., M.</w:t>
      </w:r>
      <w:r w:rsidRPr="79E65747">
        <w:t xml:space="preserve"> &amp; Boccolini, </w:t>
      </w:r>
      <w:r w:rsidR="72B01648" w:rsidRPr="79E65747">
        <w:t xml:space="preserve">C. S. </w:t>
      </w:r>
      <w:r w:rsidRPr="79E65747">
        <w:t xml:space="preserve">(2020). Prevalence of complementary and alternative </w:t>
      </w:r>
      <w:r w:rsidR="27C23671" w:rsidRPr="79E65747">
        <w:t>medicine</w:t>
      </w:r>
      <w:r w:rsidRPr="79E65747">
        <w:t xml:space="preserve"> (CAM) use in Brazil. </w:t>
      </w:r>
      <w:r w:rsidR="633AECFD" w:rsidRPr="79E65747">
        <w:t>B</w:t>
      </w:r>
      <w:r w:rsidRPr="79E65747">
        <w:rPr>
          <w:i/>
          <w:iCs/>
        </w:rPr>
        <w:t>MC complementary and alternative medicine</w:t>
      </w:r>
      <w:r w:rsidRPr="79E65747">
        <w:t>, </w:t>
      </w:r>
      <w:r w:rsidR="142037C4" w:rsidRPr="79E65747">
        <w:t>20</w:t>
      </w:r>
      <w:r w:rsidRPr="79E65747">
        <w:t>(</w:t>
      </w:r>
      <w:r w:rsidR="56B93A69" w:rsidRPr="79E65747">
        <w:t>5</w:t>
      </w:r>
      <w:r w:rsidRPr="79E65747">
        <w:t>1), 83</w:t>
      </w:r>
      <w:r w:rsidR="44842C72" w:rsidRPr="79E65747">
        <w:t xml:space="preserve">. </w:t>
      </w:r>
      <w:hyperlink r:id="rId9">
        <w:r w:rsidR="44842C72" w:rsidRPr="79E65747">
          <w:rPr>
            <w:rStyle w:val="Hyperlink"/>
            <w:color w:val="auto"/>
            <w:u w:val="none"/>
          </w:rPr>
          <w:t>https://doi.org/10.1186/s12906-020-2842-8</w:t>
        </w:r>
      </w:hyperlink>
    </w:p>
    <w:p w14:paraId="2D33454B" w14:textId="6DB0E28A" w:rsidR="00F91737" w:rsidRDefault="00F91737" w:rsidP="5339D8FC">
      <w:pPr>
        <w:spacing w:line="480" w:lineRule="auto"/>
        <w:ind w:left="720" w:hanging="720"/>
      </w:pPr>
      <w:r w:rsidRPr="5339D8FC">
        <w:t>Cherry, B., &amp; Jacob, S. R. (201</w:t>
      </w:r>
      <w:r w:rsidR="0028251C" w:rsidRPr="5339D8FC">
        <w:t>6</w:t>
      </w:r>
      <w:r w:rsidRPr="5339D8FC">
        <w:t xml:space="preserve">). </w:t>
      </w:r>
      <w:r w:rsidRPr="5339D8FC">
        <w:rPr>
          <w:i/>
          <w:iCs/>
        </w:rPr>
        <w:t>Contemporary Nursing: Issues, Trends, &amp; Management (</w:t>
      </w:r>
      <w:r w:rsidR="0028251C" w:rsidRPr="5339D8FC">
        <w:rPr>
          <w:i/>
          <w:iCs/>
        </w:rPr>
        <w:t>7</w:t>
      </w:r>
      <w:r w:rsidRPr="5339D8FC">
        <w:rPr>
          <w:i/>
          <w:iCs/>
          <w:vertAlign w:val="superscript"/>
        </w:rPr>
        <w:t>th</w:t>
      </w:r>
      <w:r w:rsidRPr="5339D8FC">
        <w:rPr>
          <w:i/>
          <w:iCs/>
        </w:rPr>
        <w:t xml:space="preserve"> ed.)</w:t>
      </w:r>
      <w:r w:rsidR="0028251C" w:rsidRPr="5339D8FC">
        <w:rPr>
          <w:i/>
          <w:iCs/>
        </w:rPr>
        <w:t>.</w:t>
      </w:r>
      <w:r w:rsidRPr="5339D8FC">
        <w:t xml:space="preserve"> Elsevier</w:t>
      </w:r>
      <w:r w:rsidR="0028251C" w:rsidRPr="5339D8FC">
        <w:t>.</w:t>
      </w:r>
    </w:p>
    <w:p w14:paraId="69216F53" w14:textId="7DDB8B60" w:rsidR="70532D3F" w:rsidRDefault="70532D3F" w:rsidP="5339D8FC">
      <w:pPr>
        <w:spacing w:line="480" w:lineRule="auto"/>
      </w:pPr>
      <w:r w:rsidRPr="5339D8FC">
        <w:t xml:space="preserve">Falci L., Shi Z., Greenlee H. (2016). </w:t>
      </w:r>
      <w:r w:rsidRPr="5339D8FC">
        <w:rPr>
          <w:i/>
          <w:iCs/>
        </w:rPr>
        <w:t xml:space="preserve">Multiple Chronic Conditions and Use of Complementary </w:t>
      </w:r>
      <w:r>
        <w:tab/>
      </w:r>
      <w:r w:rsidRPr="5339D8FC">
        <w:rPr>
          <w:i/>
          <w:iCs/>
        </w:rPr>
        <w:t xml:space="preserve">and Alternative Medicine Among US Adults: Results From the 2012 National Health </w:t>
      </w:r>
      <w:r>
        <w:tab/>
      </w:r>
      <w:r w:rsidRPr="5339D8FC">
        <w:rPr>
          <w:i/>
          <w:iCs/>
        </w:rPr>
        <w:t>Interview Survey.</w:t>
      </w:r>
      <w:r w:rsidRPr="5339D8FC">
        <w:t xml:space="preserve"> Preventing Chronic Disease, 13. </w:t>
      </w:r>
      <w:r>
        <w:tab/>
      </w:r>
      <w:r>
        <w:tab/>
      </w:r>
    </w:p>
    <w:p w14:paraId="562426E0" w14:textId="0A1EEF9A" w:rsidR="70532D3F" w:rsidRDefault="70532D3F" w:rsidP="5339D8FC">
      <w:pPr>
        <w:spacing w:line="480" w:lineRule="auto"/>
        <w:ind w:firstLine="720"/>
      </w:pPr>
      <w:r w:rsidRPr="79E65747">
        <w:t xml:space="preserve">DOI: </w:t>
      </w:r>
      <w:hyperlink r:id="rId10">
        <w:r w:rsidRPr="79E65747">
          <w:rPr>
            <w:rStyle w:val="Hyperlink"/>
            <w:color w:val="auto"/>
            <w:u w:val="none"/>
          </w:rPr>
          <w:t>http://dx.doi.org/10.5888/pcd13.150501external icon</w:t>
        </w:r>
      </w:hyperlink>
      <w:r w:rsidRPr="79E65747">
        <w:t>.</w:t>
      </w:r>
    </w:p>
    <w:p w14:paraId="5DB41F7A" w14:textId="66F7C4D2" w:rsidR="1439A869" w:rsidRDefault="1439A869" w:rsidP="5339D8FC">
      <w:pPr>
        <w:spacing w:line="480" w:lineRule="auto"/>
      </w:pPr>
      <w:r w:rsidRPr="5339D8FC">
        <w:t>Georgetown University Law Library</w:t>
      </w:r>
      <w:r w:rsidRPr="5339D8FC">
        <w:rPr>
          <w:rFonts w:ascii="Calibri" w:eastAsia="Calibri" w:hAnsi="Calibri" w:cs="Calibri"/>
          <w:sz w:val="22"/>
          <w:szCs w:val="22"/>
        </w:rPr>
        <w:t xml:space="preserve">. (2021). </w:t>
      </w:r>
      <w:r w:rsidRPr="5339D8FC">
        <w:rPr>
          <w:i/>
          <w:iCs/>
        </w:rPr>
        <w:t>Complementary and Alternative Medicine</w:t>
      </w:r>
      <w:r w:rsidRPr="5339D8FC">
        <w:rPr>
          <w:rFonts w:ascii="Calibri" w:eastAsia="Calibri" w:hAnsi="Calibri" w:cs="Calibri"/>
          <w:b/>
          <w:bCs/>
          <w:i/>
          <w:iCs/>
        </w:rPr>
        <w:t xml:space="preserve"> </w:t>
      </w:r>
      <w:r>
        <w:tab/>
      </w:r>
      <w:r>
        <w:tab/>
      </w:r>
      <w:r w:rsidRPr="5339D8FC">
        <w:rPr>
          <w:i/>
          <w:iCs/>
        </w:rPr>
        <w:t>Research Guide.</w:t>
      </w:r>
      <w:r w:rsidRPr="5339D8FC">
        <w:rPr>
          <w:b/>
          <w:bCs/>
          <w:i/>
          <w:iCs/>
        </w:rPr>
        <w:t xml:space="preserve"> </w:t>
      </w:r>
      <w:hyperlink r:id="rId11">
        <w:r w:rsidRPr="5339D8FC">
          <w:rPr>
            <w:rStyle w:val="Hyperlink"/>
            <w:color w:val="auto"/>
            <w:u w:val="none"/>
          </w:rPr>
          <w:t>https://guides.ll.georgetown.edu/camedicine</w:t>
        </w:r>
      </w:hyperlink>
    </w:p>
    <w:p w14:paraId="535CB549" w14:textId="747AB69C" w:rsidR="4604A1B5" w:rsidRDefault="4604A1B5" w:rsidP="5339D8FC">
      <w:pPr>
        <w:spacing w:line="480" w:lineRule="auto"/>
      </w:pPr>
      <w:r w:rsidRPr="79E65747">
        <w:t xml:space="preserve">Kristoffersen, A.E., Stub, T., Musial, F., Fonnebo, V., Lillenes, O., Norheim, A.J. (2018).            </w:t>
      </w:r>
      <w:r>
        <w:tab/>
      </w:r>
      <w:r w:rsidRPr="79E65747">
        <w:rPr>
          <w:i/>
          <w:iCs/>
        </w:rPr>
        <w:t xml:space="preserve">Prevalence and reasons for intentional use of complementary and alternative medicine as </w:t>
      </w:r>
      <w:r>
        <w:tab/>
      </w:r>
      <w:r w:rsidRPr="79E65747">
        <w:rPr>
          <w:i/>
          <w:iCs/>
        </w:rPr>
        <w:t>an adjunct to future visits to a medical doctor for chronic disease.</w:t>
      </w:r>
      <w:r w:rsidRPr="79E65747">
        <w:t xml:space="preserve"> BMC Complement </w:t>
      </w:r>
      <w:r>
        <w:tab/>
      </w:r>
      <w:r w:rsidRPr="79E65747">
        <w:t xml:space="preserve">Altern </w:t>
      </w:r>
      <w:r w:rsidRPr="79E65747">
        <w:rPr>
          <w:i/>
          <w:iCs/>
        </w:rPr>
        <w:t>18</w:t>
      </w:r>
      <w:r w:rsidRPr="79E65747">
        <w:t xml:space="preserve">(109). </w:t>
      </w:r>
      <w:hyperlink r:id="rId12">
        <w:r w:rsidRPr="79E65747">
          <w:rPr>
            <w:rStyle w:val="Hyperlink"/>
            <w:color w:val="auto"/>
            <w:u w:val="none"/>
          </w:rPr>
          <w:t>https://doi.org/10.1186/s12906-018-2179-8</w:t>
        </w:r>
      </w:hyperlink>
    </w:p>
    <w:p w14:paraId="58E2DD09" w14:textId="048B12AD" w:rsidR="00FE4F2B" w:rsidRDefault="00FE4F2B" w:rsidP="5339D8FC">
      <w:pPr>
        <w:spacing w:line="480" w:lineRule="auto"/>
        <w:ind w:left="720" w:hanging="720"/>
        <w:rPr>
          <w:shd w:val="clear" w:color="auto" w:fill="FFFFFF"/>
        </w:rPr>
      </w:pPr>
      <w:r w:rsidRPr="5339D8FC">
        <w:rPr>
          <w:shd w:val="clear" w:color="auto" w:fill="FFFFFF"/>
        </w:rPr>
        <w:t>Langrand, J., Regnault, H., Cachet, X., Bouzidi,C., Villa, A. F., Serfaty, L., Garnier, R., &amp; Michel, S., (2014). Toxic hepatitis induced by a herbal medicine: Tinospora crispa.</w:t>
      </w:r>
      <w:r w:rsidRPr="5339D8FC">
        <w:rPr>
          <w:rStyle w:val="apple-converted-space"/>
          <w:shd w:val="clear" w:color="auto" w:fill="FFFFFF"/>
        </w:rPr>
        <w:t> </w:t>
      </w:r>
      <w:r w:rsidRPr="5339D8FC">
        <w:rPr>
          <w:i/>
          <w:iCs/>
        </w:rPr>
        <w:t>Phytomedicine,</w:t>
      </w:r>
      <w:r w:rsidRPr="5339D8FC">
        <w:rPr>
          <w:rStyle w:val="apple-converted-space"/>
          <w:shd w:val="clear" w:color="auto" w:fill="FFFFFF"/>
        </w:rPr>
        <w:t> </w:t>
      </w:r>
      <w:r w:rsidRPr="5339D8FC">
        <w:rPr>
          <w:i/>
          <w:iCs/>
        </w:rPr>
        <w:t>21</w:t>
      </w:r>
      <w:r w:rsidRPr="5339D8FC">
        <w:rPr>
          <w:shd w:val="clear" w:color="auto" w:fill="FFFFFF"/>
        </w:rPr>
        <w:t xml:space="preserve">(8-9), 1120-1123. </w:t>
      </w:r>
      <w:r w:rsidRPr="5339D8FC">
        <w:t>doi:</w:t>
      </w:r>
      <w:r w:rsidRPr="5339D8FC">
        <w:rPr>
          <w:rStyle w:val="apple-converted-space"/>
          <w:b/>
          <w:bCs/>
        </w:rPr>
        <w:t> </w:t>
      </w:r>
      <w:r w:rsidRPr="5339D8FC">
        <w:rPr>
          <w:shd w:val="clear" w:color="auto" w:fill="FFFFFF"/>
        </w:rPr>
        <w:t>10.1016/j.phymed.2014.04.031</w:t>
      </w:r>
    </w:p>
    <w:p w14:paraId="66582E98" w14:textId="070DCE4E" w:rsidR="00FE4F2B" w:rsidRDefault="00FE4F2B" w:rsidP="5339D8FC">
      <w:pPr>
        <w:spacing w:line="480" w:lineRule="auto"/>
        <w:ind w:left="720" w:hanging="720"/>
        <w:rPr>
          <w:shd w:val="clear" w:color="auto" w:fill="FFFFFF"/>
        </w:rPr>
      </w:pPr>
      <w:r w:rsidRPr="5339D8FC">
        <w:rPr>
          <w:shd w:val="clear" w:color="auto" w:fill="FFFFFF"/>
        </w:rPr>
        <w:t>Lucchetti, G., &amp; Vallada, H. (2017). Complementary religious and spiritual interventions in physical health and quality of life: A systematic review of randomized controlled clinical trials. </w:t>
      </w:r>
      <w:r w:rsidRPr="5339D8FC">
        <w:rPr>
          <w:i/>
          <w:iCs/>
          <w:shd w:val="clear" w:color="auto" w:fill="FFFFFF"/>
        </w:rPr>
        <w:t>PLoS One,</w:t>
      </w:r>
      <w:r w:rsidRPr="5339D8FC">
        <w:rPr>
          <w:shd w:val="clear" w:color="auto" w:fill="FFFFFF"/>
        </w:rPr>
        <w:t> </w:t>
      </w:r>
      <w:r w:rsidRPr="5339D8FC">
        <w:rPr>
          <w:i/>
          <w:iCs/>
          <w:shd w:val="clear" w:color="auto" w:fill="FFFFFF"/>
        </w:rPr>
        <w:t>12</w:t>
      </w:r>
      <w:r w:rsidRPr="5339D8FC">
        <w:rPr>
          <w:shd w:val="clear" w:color="auto" w:fill="FFFFFF"/>
        </w:rPr>
        <w:t>(10), E0186539. doi:</w:t>
      </w:r>
      <w:r w:rsidRPr="5339D8FC">
        <w:rPr>
          <w:b/>
          <w:bCs/>
          <w:shd w:val="clear" w:color="auto" w:fill="FFFFFF"/>
        </w:rPr>
        <w:t> </w:t>
      </w:r>
      <w:r w:rsidRPr="5339D8FC">
        <w:rPr>
          <w:shd w:val="clear" w:color="auto" w:fill="FFFFFF"/>
        </w:rPr>
        <w:t>10.1371/journal.pone.0186539</w:t>
      </w:r>
    </w:p>
    <w:p w14:paraId="37B0413B" w14:textId="36DB4701" w:rsidR="00FE4F2B" w:rsidRDefault="00FE4F2B" w:rsidP="5339D8FC">
      <w:pPr>
        <w:spacing w:line="480" w:lineRule="auto"/>
        <w:ind w:left="720" w:hanging="720"/>
        <w:rPr>
          <w:shd w:val="clear" w:color="auto" w:fill="FFFFFF"/>
        </w:rPr>
      </w:pPr>
      <w:r w:rsidRPr="5339D8FC">
        <w:rPr>
          <w:shd w:val="clear" w:color="auto" w:fill="FFFFFF"/>
        </w:rPr>
        <w:t xml:space="preserve">McCaffrey, Eisenberg, &amp; Legedza, A (2004). Prayer for health concerns: Results of a national survey on prevalence and patterns of use. </w:t>
      </w:r>
      <w:r w:rsidRPr="5339D8FC">
        <w:rPr>
          <w:i/>
          <w:iCs/>
          <w:shd w:val="clear" w:color="auto" w:fill="FFFFFF"/>
        </w:rPr>
        <w:t>Arch Internal Medicine</w:t>
      </w:r>
      <w:r w:rsidRPr="5339D8FC">
        <w:rPr>
          <w:shd w:val="clear" w:color="auto" w:fill="FFFFFF"/>
        </w:rPr>
        <w:t>, 164, 858-862.</w:t>
      </w:r>
    </w:p>
    <w:p w14:paraId="2C6153CE" w14:textId="3E991349" w:rsidR="7647976A" w:rsidRDefault="7647976A" w:rsidP="5339D8FC">
      <w:pPr>
        <w:pStyle w:val="Heading1"/>
        <w:rPr>
          <w:rFonts w:ascii="Times New Roman" w:eastAsia="Times New Roman" w:hAnsi="Times New Roman" w:cs="Times New Roman"/>
          <w:color w:val="auto"/>
          <w:sz w:val="24"/>
          <w:szCs w:val="24"/>
        </w:rPr>
      </w:pPr>
      <w:r w:rsidRPr="5339D8FC">
        <w:rPr>
          <w:rFonts w:ascii="Times New Roman" w:eastAsia="Times New Roman" w:hAnsi="Times New Roman" w:cs="Times New Roman"/>
          <w:color w:val="auto"/>
          <w:sz w:val="24"/>
          <w:szCs w:val="24"/>
        </w:rPr>
        <w:t>National Cancer Institute. (2020)</w:t>
      </w:r>
      <w:r w:rsidR="0B305C4E" w:rsidRPr="5339D8FC">
        <w:rPr>
          <w:rFonts w:ascii="Times New Roman" w:eastAsia="Times New Roman" w:hAnsi="Times New Roman" w:cs="Times New Roman"/>
          <w:color w:val="auto"/>
          <w:sz w:val="24"/>
          <w:szCs w:val="24"/>
        </w:rPr>
        <w:t xml:space="preserve">. </w:t>
      </w:r>
      <w:r w:rsidR="0B305C4E" w:rsidRPr="5339D8FC">
        <w:rPr>
          <w:rFonts w:ascii="Times New Roman" w:eastAsia="Times New Roman" w:hAnsi="Times New Roman" w:cs="Times New Roman"/>
          <w:i/>
          <w:iCs/>
          <w:color w:val="auto"/>
          <w:sz w:val="24"/>
          <w:szCs w:val="24"/>
        </w:rPr>
        <w:t xml:space="preserve">Complementary and Alternative </w:t>
      </w:r>
    </w:p>
    <w:p w14:paraId="162A4B1A" w14:textId="36483A0F" w:rsidR="0B305C4E" w:rsidRDefault="0B305C4E" w:rsidP="5339D8FC">
      <w:pPr>
        <w:pStyle w:val="Heading1"/>
        <w:ind w:firstLine="720"/>
        <w:rPr>
          <w:rFonts w:ascii="Times New Roman" w:eastAsia="Times New Roman" w:hAnsi="Times New Roman" w:cs="Times New Roman"/>
          <w:color w:val="auto"/>
          <w:sz w:val="24"/>
          <w:szCs w:val="24"/>
        </w:rPr>
      </w:pPr>
      <w:r w:rsidRPr="5339D8FC">
        <w:rPr>
          <w:rFonts w:ascii="Times New Roman" w:eastAsia="Times New Roman" w:hAnsi="Times New Roman" w:cs="Times New Roman"/>
          <w:color w:val="auto"/>
          <w:sz w:val="24"/>
          <w:szCs w:val="24"/>
        </w:rPr>
        <w:t>Medicine. https://www.cancer.gov/about-cancer/treatment/cam</w:t>
      </w:r>
    </w:p>
    <w:p w14:paraId="234229FE" w14:textId="77777777" w:rsidR="00F91737" w:rsidRDefault="00F91737" w:rsidP="5339D8FC">
      <w:pPr>
        <w:spacing w:line="480" w:lineRule="auto"/>
        <w:ind w:left="720" w:hanging="720"/>
      </w:pPr>
      <w:r w:rsidRPr="5339D8FC">
        <w:rPr>
          <w:shd w:val="clear" w:color="auto" w:fill="FFFFFF"/>
        </w:rPr>
        <w:t xml:space="preserve">Notte, B. B., Fazzini, C. A., &amp; Mooney, R. (2016). </w:t>
      </w:r>
      <w:r w:rsidR="6B4531B2" w:rsidRPr="5339D8FC">
        <w:rPr>
          <w:shd w:val="clear" w:color="auto" w:fill="FFFFFF"/>
        </w:rPr>
        <w:t>Reiki's</w:t>
      </w:r>
      <w:r w:rsidRPr="5339D8FC">
        <w:rPr>
          <w:shd w:val="clear" w:color="auto" w:fill="FFFFFF"/>
        </w:rPr>
        <w:t xml:space="preserve"> effect on patients with total knee arthroplasty: A pilot study. </w:t>
      </w:r>
      <w:r w:rsidRPr="5339D8FC">
        <w:rPr>
          <w:i/>
          <w:iCs/>
        </w:rPr>
        <w:t>Nursing,46</w:t>
      </w:r>
      <w:r w:rsidRPr="5339D8FC">
        <w:rPr>
          <w:shd w:val="clear" w:color="auto" w:fill="FFFFFF"/>
        </w:rPr>
        <w:t>(2), 17-23. Doi:</w:t>
      </w:r>
      <w:r w:rsidRPr="5339D8FC">
        <w:rPr>
          <w:rStyle w:val="apple-converted-space"/>
          <w:b/>
          <w:bCs/>
        </w:rPr>
        <w:t> </w:t>
      </w:r>
      <w:r w:rsidRPr="5339D8FC">
        <w:rPr>
          <w:shd w:val="clear" w:color="auto" w:fill="FFFFFF"/>
        </w:rPr>
        <w:t>10.1097/01.NURSE.0000476246.16717.65</w:t>
      </w:r>
    </w:p>
    <w:p w14:paraId="7270D4DB" w14:textId="1744C5BA" w:rsidR="7113F402" w:rsidRDefault="7113F402" w:rsidP="5339D8FC">
      <w:pPr>
        <w:spacing w:line="480" w:lineRule="exact"/>
        <w:ind w:left="720" w:hanging="720"/>
      </w:pPr>
      <w:r w:rsidRPr="5339D8FC">
        <w:t xml:space="preserve">Prender, N. J., Murdaugh, C. L., &amp; Parson, M. A. (2016) </w:t>
      </w:r>
      <w:r w:rsidRPr="5339D8FC">
        <w:rPr>
          <w:i/>
          <w:iCs/>
        </w:rPr>
        <w:t xml:space="preserve">Health promotion in nursing practice. </w:t>
      </w:r>
      <w:r w:rsidRPr="5339D8FC">
        <w:t>(7</w:t>
      </w:r>
      <w:r w:rsidRPr="5339D8FC">
        <w:rPr>
          <w:vertAlign w:val="superscript"/>
        </w:rPr>
        <w:t>th</w:t>
      </w:r>
      <w:r w:rsidRPr="5339D8FC">
        <w:t xml:space="preserve"> ed.). Pearson.</w:t>
      </w:r>
    </w:p>
    <w:p w14:paraId="0582DFBE" w14:textId="7BD2A514" w:rsidR="28917C0D" w:rsidRDefault="28917C0D" w:rsidP="5339D8FC">
      <w:pPr>
        <w:spacing w:line="480" w:lineRule="auto"/>
      </w:pPr>
      <w:r w:rsidRPr="5339D8FC">
        <w:t xml:space="preserve">Stussman, B.J., Nahin, R.R., Barnes, P.M., Ward, B. (2020). </w:t>
      </w:r>
      <w:r w:rsidRPr="5339D8FC">
        <w:rPr>
          <w:i/>
          <w:iCs/>
        </w:rPr>
        <w:t xml:space="preserve">U.S. physician recommendations to </w:t>
      </w:r>
      <w:r>
        <w:tab/>
      </w:r>
      <w:r w:rsidRPr="5339D8FC">
        <w:rPr>
          <w:i/>
          <w:iCs/>
        </w:rPr>
        <w:t xml:space="preserve">their patients about the use of complementary health approaches. </w:t>
      </w:r>
      <w:r w:rsidRPr="5339D8FC">
        <w:t xml:space="preserve">The Journal of </w:t>
      </w:r>
      <w:r>
        <w:tab/>
      </w:r>
      <w:r>
        <w:tab/>
      </w:r>
      <w:r w:rsidRPr="5339D8FC">
        <w:t>Alternative and Complementary Medicine.</w:t>
      </w:r>
      <w:r w:rsidRPr="5339D8FC">
        <w:rPr>
          <w:i/>
          <w:iCs/>
        </w:rPr>
        <w:t xml:space="preserve"> 26</w:t>
      </w:r>
      <w:r w:rsidRPr="5339D8FC">
        <w:t>(1)</w:t>
      </w:r>
      <w:r w:rsidRPr="5339D8FC">
        <w:rPr>
          <w:i/>
          <w:iCs/>
        </w:rPr>
        <w:t xml:space="preserve">, </w:t>
      </w:r>
      <w:r w:rsidRPr="5339D8FC">
        <w:t>25-33</w:t>
      </w:r>
    </w:p>
    <w:p w14:paraId="5DDE99C0" w14:textId="131C5812" w:rsidR="00AA6B26" w:rsidRDefault="28917C0D" w:rsidP="79E65747">
      <w:pPr>
        <w:spacing w:line="480" w:lineRule="auto"/>
      </w:pPr>
      <w:r w:rsidRPr="79E65747">
        <w:t xml:space="preserve">Subramanian, K., &amp; Midha, I. (2016). </w:t>
      </w:r>
      <w:r w:rsidRPr="79E65747">
        <w:rPr>
          <w:i/>
          <w:iCs/>
        </w:rPr>
        <w:t xml:space="preserve">Prevalence and Perspectives of Complementary and </w:t>
      </w:r>
      <w:r w:rsidR="00AE453A">
        <w:tab/>
      </w:r>
      <w:r w:rsidRPr="79E65747">
        <w:rPr>
          <w:i/>
          <w:iCs/>
        </w:rPr>
        <w:t xml:space="preserve">Alternative Medicine among University Students in Atlanta, Newcastle upon Tyne, and </w:t>
      </w:r>
      <w:r w:rsidR="00AE453A">
        <w:tab/>
      </w:r>
      <w:r w:rsidRPr="79E65747">
        <w:rPr>
          <w:i/>
          <w:iCs/>
        </w:rPr>
        <w:t>New Delhi</w:t>
      </w:r>
      <w:r w:rsidRPr="79E65747">
        <w:rPr>
          <w:rFonts w:ascii="Calibri" w:eastAsia="Calibri" w:hAnsi="Calibri" w:cs="Calibri"/>
          <w:b/>
          <w:bCs/>
          <w:i/>
          <w:iCs/>
        </w:rPr>
        <w:t xml:space="preserve">. </w:t>
      </w:r>
      <w:r w:rsidRPr="79E65747">
        <w:t xml:space="preserve">US National Library of Medicine National Institutes of Health. </w:t>
      </w:r>
      <w:r w:rsidR="00AE453A">
        <w:tab/>
      </w:r>
      <w:r w:rsidR="00AE453A">
        <w:tab/>
      </w:r>
      <w:r w:rsidR="00AE453A">
        <w:tab/>
      </w:r>
      <w:hyperlink r:id="rId13">
        <w:r w:rsidRPr="79E65747">
          <w:rPr>
            <w:rStyle w:val="Hyperlink"/>
            <w:color w:val="auto"/>
            <w:u w:val="none"/>
          </w:rPr>
          <w:t>https://doi.org/10.1155/2016/9309534</w:t>
        </w:r>
      </w:hyperlink>
    </w:p>
    <w:sectPr w:rsidR="00AA6B26" w:rsidSect="002524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B71CC"/>
    <w:multiLevelType w:val="hybridMultilevel"/>
    <w:tmpl w:val="F00A334A"/>
    <w:lvl w:ilvl="0" w:tplc="E7AC3198">
      <w:start w:val="1"/>
      <w:numFmt w:val="bullet"/>
      <w:lvlText w:val=""/>
      <w:lvlJc w:val="left"/>
      <w:pPr>
        <w:ind w:left="720" w:hanging="360"/>
      </w:pPr>
      <w:rPr>
        <w:rFonts w:ascii="Symbol" w:hAnsi="Symbol" w:hint="default"/>
      </w:rPr>
    </w:lvl>
    <w:lvl w:ilvl="1" w:tplc="FF3A1F4E">
      <w:start w:val="1"/>
      <w:numFmt w:val="bullet"/>
      <w:lvlText w:val="o"/>
      <w:lvlJc w:val="left"/>
      <w:pPr>
        <w:ind w:left="1440" w:hanging="360"/>
      </w:pPr>
      <w:rPr>
        <w:rFonts w:ascii="Courier New" w:hAnsi="Courier New" w:hint="default"/>
      </w:rPr>
    </w:lvl>
    <w:lvl w:ilvl="2" w:tplc="682AAD4C">
      <w:start w:val="1"/>
      <w:numFmt w:val="bullet"/>
      <w:lvlText w:val=""/>
      <w:lvlJc w:val="left"/>
      <w:pPr>
        <w:ind w:left="2160" w:hanging="360"/>
      </w:pPr>
      <w:rPr>
        <w:rFonts w:ascii="Wingdings" w:hAnsi="Wingdings" w:hint="default"/>
      </w:rPr>
    </w:lvl>
    <w:lvl w:ilvl="3" w:tplc="B3C89CB4">
      <w:start w:val="1"/>
      <w:numFmt w:val="bullet"/>
      <w:lvlText w:val=""/>
      <w:lvlJc w:val="left"/>
      <w:pPr>
        <w:ind w:left="2880" w:hanging="360"/>
      </w:pPr>
      <w:rPr>
        <w:rFonts w:ascii="Symbol" w:hAnsi="Symbol" w:hint="default"/>
      </w:rPr>
    </w:lvl>
    <w:lvl w:ilvl="4" w:tplc="13A63992">
      <w:start w:val="1"/>
      <w:numFmt w:val="bullet"/>
      <w:lvlText w:val="o"/>
      <w:lvlJc w:val="left"/>
      <w:pPr>
        <w:ind w:left="3600" w:hanging="360"/>
      </w:pPr>
      <w:rPr>
        <w:rFonts w:ascii="Courier New" w:hAnsi="Courier New" w:hint="default"/>
      </w:rPr>
    </w:lvl>
    <w:lvl w:ilvl="5" w:tplc="09E63C32">
      <w:start w:val="1"/>
      <w:numFmt w:val="bullet"/>
      <w:lvlText w:val=""/>
      <w:lvlJc w:val="left"/>
      <w:pPr>
        <w:ind w:left="4320" w:hanging="360"/>
      </w:pPr>
      <w:rPr>
        <w:rFonts w:ascii="Wingdings" w:hAnsi="Wingdings" w:hint="default"/>
      </w:rPr>
    </w:lvl>
    <w:lvl w:ilvl="6" w:tplc="B728F934">
      <w:start w:val="1"/>
      <w:numFmt w:val="bullet"/>
      <w:lvlText w:val=""/>
      <w:lvlJc w:val="left"/>
      <w:pPr>
        <w:ind w:left="5040" w:hanging="360"/>
      </w:pPr>
      <w:rPr>
        <w:rFonts w:ascii="Symbol" w:hAnsi="Symbol" w:hint="default"/>
      </w:rPr>
    </w:lvl>
    <w:lvl w:ilvl="7" w:tplc="F1DC1B2E">
      <w:start w:val="1"/>
      <w:numFmt w:val="bullet"/>
      <w:lvlText w:val="o"/>
      <w:lvlJc w:val="left"/>
      <w:pPr>
        <w:ind w:left="5760" w:hanging="360"/>
      </w:pPr>
      <w:rPr>
        <w:rFonts w:ascii="Courier New" w:hAnsi="Courier New" w:hint="default"/>
      </w:rPr>
    </w:lvl>
    <w:lvl w:ilvl="8" w:tplc="39EC965E">
      <w:start w:val="1"/>
      <w:numFmt w:val="bullet"/>
      <w:lvlText w:val=""/>
      <w:lvlJc w:val="left"/>
      <w:pPr>
        <w:ind w:left="6480" w:hanging="360"/>
      </w:pPr>
      <w:rPr>
        <w:rFonts w:ascii="Wingdings" w:hAnsi="Wingdings" w:hint="default"/>
      </w:rPr>
    </w:lvl>
  </w:abstractNum>
  <w:abstractNum w:abstractNumId="1" w15:restartNumberingAfterBreak="0">
    <w:nsid w:val="43C4038D"/>
    <w:multiLevelType w:val="hybridMultilevel"/>
    <w:tmpl w:val="BF0EED50"/>
    <w:lvl w:ilvl="0" w:tplc="C5CA5300">
      <w:start w:val="1"/>
      <w:numFmt w:val="bullet"/>
      <w:lvlText w:val=""/>
      <w:lvlJc w:val="left"/>
      <w:pPr>
        <w:ind w:left="720" w:hanging="360"/>
      </w:pPr>
      <w:rPr>
        <w:rFonts w:ascii="Symbol" w:hAnsi="Symbol" w:hint="default"/>
      </w:rPr>
    </w:lvl>
    <w:lvl w:ilvl="1" w:tplc="BB961E74">
      <w:start w:val="1"/>
      <w:numFmt w:val="bullet"/>
      <w:lvlText w:val="o"/>
      <w:lvlJc w:val="left"/>
      <w:pPr>
        <w:ind w:left="1440" w:hanging="360"/>
      </w:pPr>
      <w:rPr>
        <w:rFonts w:ascii="Courier New" w:hAnsi="Courier New" w:hint="default"/>
      </w:rPr>
    </w:lvl>
    <w:lvl w:ilvl="2" w:tplc="8D546A3A">
      <w:start w:val="1"/>
      <w:numFmt w:val="bullet"/>
      <w:lvlText w:val=""/>
      <w:lvlJc w:val="left"/>
      <w:pPr>
        <w:ind w:left="2160" w:hanging="360"/>
      </w:pPr>
      <w:rPr>
        <w:rFonts w:ascii="Wingdings" w:hAnsi="Wingdings" w:hint="default"/>
      </w:rPr>
    </w:lvl>
    <w:lvl w:ilvl="3" w:tplc="A8A8D02A">
      <w:start w:val="1"/>
      <w:numFmt w:val="bullet"/>
      <w:lvlText w:val=""/>
      <w:lvlJc w:val="left"/>
      <w:pPr>
        <w:ind w:left="2880" w:hanging="360"/>
      </w:pPr>
      <w:rPr>
        <w:rFonts w:ascii="Symbol" w:hAnsi="Symbol" w:hint="default"/>
      </w:rPr>
    </w:lvl>
    <w:lvl w:ilvl="4" w:tplc="60283C6E">
      <w:start w:val="1"/>
      <w:numFmt w:val="bullet"/>
      <w:lvlText w:val="o"/>
      <w:lvlJc w:val="left"/>
      <w:pPr>
        <w:ind w:left="3600" w:hanging="360"/>
      </w:pPr>
      <w:rPr>
        <w:rFonts w:ascii="Courier New" w:hAnsi="Courier New" w:hint="default"/>
      </w:rPr>
    </w:lvl>
    <w:lvl w:ilvl="5" w:tplc="DA6862CA">
      <w:start w:val="1"/>
      <w:numFmt w:val="bullet"/>
      <w:lvlText w:val=""/>
      <w:lvlJc w:val="left"/>
      <w:pPr>
        <w:ind w:left="4320" w:hanging="360"/>
      </w:pPr>
      <w:rPr>
        <w:rFonts w:ascii="Wingdings" w:hAnsi="Wingdings" w:hint="default"/>
      </w:rPr>
    </w:lvl>
    <w:lvl w:ilvl="6" w:tplc="4B6E4CAA">
      <w:start w:val="1"/>
      <w:numFmt w:val="bullet"/>
      <w:lvlText w:val=""/>
      <w:lvlJc w:val="left"/>
      <w:pPr>
        <w:ind w:left="5040" w:hanging="360"/>
      </w:pPr>
      <w:rPr>
        <w:rFonts w:ascii="Symbol" w:hAnsi="Symbol" w:hint="default"/>
      </w:rPr>
    </w:lvl>
    <w:lvl w:ilvl="7" w:tplc="89946692">
      <w:start w:val="1"/>
      <w:numFmt w:val="bullet"/>
      <w:lvlText w:val="o"/>
      <w:lvlJc w:val="left"/>
      <w:pPr>
        <w:ind w:left="5760" w:hanging="360"/>
      </w:pPr>
      <w:rPr>
        <w:rFonts w:ascii="Courier New" w:hAnsi="Courier New" w:hint="default"/>
      </w:rPr>
    </w:lvl>
    <w:lvl w:ilvl="8" w:tplc="674078C4">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737"/>
    <w:rsid w:val="00151E76"/>
    <w:rsid w:val="00222C54"/>
    <w:rsid w:val="0028251C"/>
    <w:rsid w:val="0043517C"/>
    <w:rsid w:val="005A71DE"/>
    <w:rsid w:val="006213C4"/>
    <w:rsid w:val="006BA6F0"/>
    <w:rsid w:val="0076344A"/>
    <w:rsid w:val="00920EDB"/>
    <w:rsid w:val="009D71EB"/>
    <w:rsid w:val="00AE167B"/>
    <w:rsid w:val="00AE453A"/>
    <w:rsid w:val="00B6047D"/>
    <w:rsid w:val="00CC69D4"/>
    <w:rsid w:val="00CD10DD"/>
    <w:rsid w:val="00D5595D"/>
    <w:rsid w:val="00F91737"/>
    <w:rsid w:val="00FE4F2B"/>
    <w:rsid w:val="0158840F"/>
    <w:rsid w:val="0193BAB9"/>
    <w:rsid w:val="01BFD029"/>
    <w:rsid w:val="01DE1B32"/>
    <w:rsid w:val="0208419A"/>
    <w:rsid w:val="0227A268"/>
    <w:rsid w:val="03043364"/>
    <w:rsid w:val="032F1723"/>
    <w:rsid w:val="05DB6238"/>
    <w:rsid w:val="06AE0F4D"/>
    <w:rsid w:val="06D46D25"/>
    <w:rsid w:val="06E8FB80"/>
    <w:rsid w:val="07028166"/>
    <w:rsid w:val="07403C50"/>
    <w:rsid w:val="074703A6"/>
    <w:rsid w:val="075964AD"/>
    <w:rsid w:val="0A32B44D"/>
    <w:rsid w:val="0AB28D73"/>
    <w:rsid w:val="0B14EBBA"/>
    <w:rsid w:val="0B24EC47"/>
    <w:rsid w:val="0B305C4E"/>
    <w:rsid w:val="0D6E98E3"/>
    <w:rsid w:val="0E56612A"/>
    <w:rsid w:val="0EA8F4B7"/>
    <w:rsid w:val="0EBA79A6"/>
    <w:rsid w:val="0EECFD13"/>
    <w:rsid w:val="0EFCD166"/>
    <w:rsid w:val="0F2D26D9"/>
    <w:rsid w:val="0F423697"/>
    <w:rsid w:val="0F769829"/>
    <w:rsid w:val="0FF2318B"/>
    <w:rsid w:val="103098D8"/>
    <w:rsid w:val="1088CD74"/>
    <w:rsid w:val="109DBE2C"/>
    <w:rsid w:val="111EA3EC"/>
    <w:rsid w:val="129D4F04"/>
    <w:rsid w:val="1368399A"/>
    <w:rsid w:val="141EBF58"/>
    <w:rsid w:val="142037C4"/>
    <w:rsid w:val="1439A869"/>
    <w:rsid w:val="15567F60"/>
    <w:rsid w:val="15BA8FB9"/>
    <w:rsid w:val="1613D94D"/>
    <w:rsid w:val="16FE3678"/>
    <w:rsid w:val="175C6B18"/>
    <w:rsid w:val="185E41B4"/>
    <w:rsid w:val="186712D0"/>
    <w:rsid w:val="1938F86A"/>
    <w:rsid w:val="194E410C"/>
    <w:rsid w:val="1968417E"/>
    <w:rsid w:val="1A9CB5B8"/>
    <w:rsid w:val="1B48C358"/>
    <w:rsid w:val="1C40F184"/>
    <w:rsid w:val="1C8FC8E3"/>
    <w:rsid w:val="1EB96491"/>
    <w:rsid w:val="1F9B535D"/>
    <w:rsid w:val="1FA69E56"/>
    <w:rsid w:val="2058FC58"/>
    <w:rsid w:val="206EB394"/>
    <w:rsid w:val="21C336EF"/>
    <w:rsid w:val="222D2C9A"/>
    <w:rsid w:val="22A10047"/>
    <w:rsid w:val="242C2B71"/>
    <w:rsid w:val="2440980E"/>
    <w:rsid w:val="24D9310D"/>
    <w:rsid w:val="25B6610E"/>
    <w:rsid w:val="265DA7F3"/>
    <w:rsid w:val="2763CC33"/>
    <w:rsid w:val="27C23671"/>
    <w:rsid w:val="28917C0D"/>
    <w:rsid w:val="2A453ED9"/>
    <w:rsid w:val="2B958E61"/>
    <w:rsid w:val="2C0F6AB5"/>
    <w:rsid w:val="2C8EAA7C"/>
    <w:rsid w:val="2DB2D3CD"/>
    <w:rsid w:val="2F7553DE"/>
    <w:rsid w:val="2F828244"/>
    <w:rsid w:val="2FF4CA09"/>
    <w:rsid w:val="30242590"/>
    <w:rsid w:val="31125E1C"/>
    <w:rsid w:val="316711F5"/>
    <w:rsid w:val="3306E2E5"/>
    <w:rsid w:val="33505435"/>
    <w:rsid w:val="3778F480"/>
    <w:rsid w:val="394DD764"/>
    <w:rsid w:val="3C60A420"/>
    <w:rsid w:val="3E4EA9A5"/>
    <w:rsid w:val="3EA13C43"/>
    <w:rsid w:val="3EFAE30B"/>
    <w:rsid w:val="3FA787F5"/>
    <w:rsid w:val="4046C7AF"/>
    <w:rsid w:val="405A1942"/>
    <w:rsid w:val="40672A11"/>
    <w:rsid w:val="420FD976"/>
    <w:rsid w:val="4385A276"/>
    <w:rsid w:val="44842C72"/>
    <w:rsid w:val="44ECB008"/>
    <w:rsid w:val="45FFE53F"/>
    <w:rsid w:val="4604A1B5"/>
    <w:rsid w:val="460FD518"/>
    <w:rsid w:val="4612DACF"/>
    <w:rsid w:val="48B769C7"/>
    <w:rsid w:val="4BFC4BFB"/>
    <w:rsid w:val="4C9D9FAB"/>
    <w:rsid w:val="4E23587C"/>
    <w:rsid w:val="4EA1839C"/>
    <w:rsid w:val="531DEF13"/>
    <w:rsid w:val="5339D8FC"/>
    <w:rsid w:val="56B93A69"/>
    <w:rsid w:val="56E46C26"/>
    <w:rsid w:val="59B5A64E"/>
    <w:rsid w:val="59DE53AE"/>
    <w:rsid w:val="5AA99133"/>
    <w:rsid w:val="5AB0DF8B"/>
    <w:rsid w:val="5BD4049B"/>
    <w:rsid w:val="5CE28C42"/>
    <w:rsid w:val="5D2B68E0"/>
    <w:rsid w:val="5DDB72BE"/>
    <w:rsid w:val="5E0884AC"/>
    <w:rsid w:val="5E635F8B"/>
    <w:rsid w:val="5F3645FA"/>
    <w:rsid w:val="60D2165B"/>
    <w:rsid w:val="62369ECB"/>
    <w:rsid w:val="626DE6BC"/>
    <w:rsid w:val="633AECFD"/>
    <w:rsid w:val="639873EB"/>
    <w:rsid w:val="651FD140"/>
    <w:rsid w:val="65DAB8AF"/>
    <w:rsid w:val="66E75525"/>
    <w:rsid w:val="67EE52E3"/>
    <w:rsid w:val="68A69D77"/>
    <w:rsid w:val="69523659"/>
    <w:rsid w:val="6958ECB4"/>
    <w:rsid w:val="69810BA6"/>
    <w:rsid w:val="69AE298B"/>
    <w:rsid w:val="6A6B5B0D"/>
    <w:rsid w:val="6B25F3A5"/>
    <w:rsid w:val="6B4531B2"/>
    <w:rsid w:val="6B4F7B08"/>
    <w:rsid w:val="6CA89BA9"/>
    <w:rsid w:val="6CC58B6C"/>
    <w:rsid w:val="70532D3F"/>
    <w:rsid w:val="70FC156C"/>
    <w:rsid w:val="7113F402"/>
    <w:rsid w:val="713E325F"/>
    <w:rsid w:val="72B01648"/>
    <w:rsid w:val="72D2B468"/>
    <w:rsid w:val="730EC58F"/>
    <w:rsid w:val="73FC9D51"/>
    <w:rsid w:val="74C59F9A"/>
    <w:rsid w:val="760EA1FA"/>
    <w:rsid w:val="7647976A"/>
    <w:rsid w:val="77E9544D"/>
    <w:rsid w:val="782793FF"/>
    <w:rsid w:val="784DCE52"/>
    <w:rsid w:val="7928CD8F"/>
    <w:rsid w:val="79A34603"/>
    <w:rsid w:val="79E65747"/>
    <w:rsid w:val="7A53826C"/>
    <w:rsid w:val="7D59725A"/>
    <w:rsid w:val="7D74EFFA"/>
    <w:rsid w:val="7E12ED0F"/>
    <w:rsid w:val="7E4FEAB1"/>
    <w:rsid w:val="7F4E52C7"/>
    <w:rsid w:val="7F83A276"/>
    <w:rsid w:val="7FDD1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47081"/>
  <w14:defaultImageDpi w14:val="32767"/>
  <w15:chartTrackingRefBased/>
  <w15:docId w15:val="{402C5F7F-202D-4E48-98CD-22C8CEF0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47D"/>
    <w:rPr>
      <w:rFonts w:ascii="Times New Roman" w:eastAsia="Times New Roman" w:hAnsi="Times New Roman" w:cs="Times New Roman"/>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91737"/>
  </w:style>
  <w:style w:type="paragraph" w:customStyle="1" w:styleId="paragraph">
    <w:name w:val="paragraph"/>
    <w:basedOn w:val="Normal"/>
    <w:rsid w:val="00151E76"/>
    <w:pPr>
      <w:spacing w:before="100" w:beforeAutospacing="1" w:after="100" w:afterAutospacing="1"/>
    </w:pPr>
  </w:style>
  <w:style w:type="character" w:customStyle="1" w:styleId="normaltextrun">
    <w:name w:val="normaltextrun"/>
    <w:basedOn w:val="DefaultParagraphFont"/>
    <w:rsid w:val="00151E76"/>
  </w:style>
  <w:style w:type="character" w:customStyle="1" w:styleId="tabchar">
    <w:name w:val="tabchar"/>
    <w:basedOn w:val="DefaultParagraphFont"/>
    <w:rsid w:val="00151E76"/>
  </w:style>
  <w:style w:type="character" w:customStyle="1" w:styleId="eop">
    <w:name w:val="eop"/>
    <w:basedOn w:val="DefaultParagraphFont"/>
    <w:rsid w:val="00151E76"/>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30889">
      <w:bodyDiv w:val="1"/>
      <w:marLeft w:val="0"/>
      <w:marRight w:val="0"/>
      <w:marTop w:val="0"/>
      <w:marBottom w:val="0"/>
      <w:divBdr>
        <w:top w:val="none" w:sz="0" w:space="0" w:color="auto"/>
        <w:left w:val="none" w:sz="0" w:space="0" w:color="auto"/>
        <w:bottom w:val="none" w:sz="0" w:space="0" w:color="auto"/>
        <w:right w:val="none" w:sz="0" w:space="0" w:color="auto"/>
      </w:divBdr>
    </w:div>
    <w:div w:id="476340442">
      <w:bodyDiv w:val="1"/>
      <w:marLeft w:val="0"/>
      <w:marRight w:val="0"/>
      <w:marTop w:val="0"/>
      <w:marBottom w:val="0"/>
      <w:divBdr>
        <w:top w:val="none" w:sz="0" w:space="0" w:color="auto"/>
        <w:left w:val="none" w:sz="0" w:space="0" w:color="auto"/>
        <w:bottom w:val="none" w:sz="0" w:space="0" w:color="auto"/>
        <w:right w:val="none" w:sz="0" w:space="0" w:color="auto"/>
      </w:divBdr>
      <w:divsChild>
        <w:div w:id="55981329">
          <w:marLeft w:val="0"/>
          <w:marRight w:val="0"/>
          <w:marTop w:val="0"/>
          <w:marBottom w:val="0"/>
          <w:divBdr>
            <w:top w:val="none" w:sz="0" w:space="0" w:color="auto"/>
            <w:left w:val="none" w:sz="0" w:space="0" w:color="auto"/>
            <w:bottom w:val="none" w:sz="0" w:space="0" w:color="auto"/>
            <w:right w:val="none" w:sz="0" w:space="0" w:color="auto"/>
          </w:divBdr>
        </w:div>
        <w:div w:id="1624724166">
          <w:marLeft w:val="0"/>
          <w:marRight w:val="0"/>
          <w:marTop w:val="0"/>
          <w:marBottom w:val="0"/>
          <w:divBdr>
            <w:top w:val="none" w:sz="0" w:space="0" w:color="auto"/>
            <w:left w:val="none" w:sz="0" w:space="0" w:color="auto"/>
            <w:bottom w:val="none" w:sz="0" w:space="0" w:color="auto"/>
            <w:right w:val="none" w:sz="0" w:space="0" w:color="auto"/>
          </w:divBdr>
        </w:div>
      </w:divsChild>
    </w:div>
    <w:div w:id="658536361">
      <w:bodyDiv w:val="1"/>
      <w:marLeft w:val="0"/>
      <w:marRight w:val="0"/>
      <w:marTop w:val="0"/>
      <w:marBottom w:val="0"/>
      <w:divBdr>
        <w:top w:val="none" w:sz="0" w:space="0" w:color="auto"/>
        <w:left w:val="none" w:sz="0" w:space="0" w:color="auto"/>
        <w:bottom w:val="none" w:sz="0" w:space="0" w:color="auto"/>
        <w:right w:val="none" w:sz="0" w:space="0" w:color="auto"/>
      </w:divBdr>
      <w:divsChild>
        <w:div w:id="1005935271">
          <w:marLeft w:val="0"/>
          <w:marRight w:val="0"/>
          <w:marTop w:val="0"/>
          <w:marBottom w:val="0"/>
          <w:divBdr>
            <w:top w:val="none" w:sz="0" w:space="0" w:color="auto"/>
            <w:left w:val="none" w:sz="0" w:space="0" w:color="auto"/>
            <w:bottom w:val="none" w:sz="0" w:space="0" w:color="auto"/>
            <w:right w:val="none" w:sz="0" w:space="0" w:color="auto"/>
          </w:divBdr>
        </w:div>
        <w:div w:id="1686597257">
          <w:marLeft w:val="0"/>
          <w:marRight w:val="0"/>
          <w:marTop w:val="0"/>
          <w:marBottom w:val="0"/>
          <w:divBdr>
            <w:top w:val="none" w:sz="0" w:space="0" w:color="auto"/>
            <w:left w:val="none" w:sz="0" w:space="0" w:color="auto"/>
            <w:bottom w:val="none" w:sz="0" w:space="0" w:color="auto"/>
            <w:right w:val="none" w:sz="0" w:space="0" w:color="auto"/>
          </w:divBdr>
        </w:div>
        <w:div w:id="465197727">
          <w:marLeft w:val="0"/>
          <w:marRight w:val="0"/>
          <w:marTop w:val="0"/>
          <w:marBottom w:val="0"/>
          <w:divBdr>
            <w:top w:val="none" w:sz="0" w:space="0" w:color="auto"/>
            <w:left w:val="none" w:sz="0" w:space="0" w:color="auto"/>
            <w:bottom w:val="none" w:sz="0" w:space="0" w:color="auto"/>
            <w:right w:val="none" w:sz="0" w:space="0" w:color="auto"/>
          </w:divBdr>
        </w:div>
        <w:div w:id="523327625">
          <w:marLeft w:val="0"/>
          <w:marRight w:val="0"/>
          <w:marTop w:val="0"/>
          <w:marBottom w:val="0"/>
          <w:divBdr>
            <w:top w:val="none" w:sz="0" w:space="0" w:color="auto"/>
            <w:left w:val="none" w:sz="0" w:space="0" w:color="auto"/>
            <w:bottom w:val="none" w:sz="0" w:space="0" w:color="auto"/>
            <w:right w:val="none" w:sz="0" w:space="0" w:color="auto"/>
          </w:divBdr>
        </w:div>
        <w:div w:id="266888495">
          <w:marLeft w:val="0"/>
          <w:marRight w:val="0"/>
          <w:marTop w:val="0"/>
          <w:marBottom w:val="0"/>
          <w:divBdr>
            <w:top w:val="none" w:sz="0" w:space="0" w:color="auto"/>
            <w:left w:val="none" w:sz="0" w:space="0" w:color="auto"/>
            <w:bottom w:val="none" w:sz="0" w:space="0" w:color="auto"/>
            <w:right w:val="none" w:sz="0" w:space="0" w:color="auto"/>
          </w:divBdr>
        </w:div>
        <w:div w:id="1667979893">
          <w:marLeft w:val="0"/>
          <w:marRight w:val="0"/>
          <w:marTop w:val="0"/>
          <w:marBottom w:val="0"/>
          <w:divBdr>
            <w:top w:val="none" w:sz="0" w:space="0" w:color="auto"/>
            <w:left w:val="none" w:sz="0" w:space="0" w:color="auto"/>
            <w:bottom w:val="none" w:sz="0" w:space="0" w:color="auto"/>
            <w:right w:val="none" w:sz="0" w:space="0" w:color="auto"/>
          </w:divBdr>
        </w:div>
        <w:div w:id="1385181275">
          <w:marLeft w:val="0"/>
          <w:marRight w:val="0"/>
          <w:marTop w:val="0"/>
          <w:marBottom w:val="0"/>
          <w:divBdr>
            <w:top w:val="none" w:sz="0" w:space="0" w:color="auto"/>
            <w:left w:val="none" w:sz="0" w:space="0" w:color="auto"/>
            <w:bottom w:val="none" w:sz="0" w:space="0" w:color="auto"/>
            <w:right w:val="none" w:sz="0" w:space="0" w:color="auto"/>
          </w:divBdr>
        </w:div>
        <w:div w:id="693848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06-019-2490-z" TargetMode="External"/><Relationship Id="rId13" Type="http://schemas.openxmlformats.org/officeDocument/2006/relationships/hyperlink" Target="https://doi.org/10.1155/2016/930953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186/s12906-018-2179-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uides.ll.georgetown.edu/camedicin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dx.doi.org/10.5888/pcd13.150501" TargetMode="External"/><Relationship Id="rId4" Type="http://schemas.openxmlformats.org/officeDocument/2006/relationships/numbering" Target="numbering.xml"/><Relationship Id="rId9" Type="http://schemas.openxmlformats.org/officeDocument/2006/relationships/hyperlink" Target="https://doi.org/10.1186/s12906-020-2842-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03E5C9DF47064F91E980F5383840FD" ma:contentTypeVersion="4" ma:contentTypeDescription="Create a new document." ma:contentTypeScope="" ma:versionID="aea8519b9d4f4fa1b4ecfa7fce180b54">
  <xsd:schema xmlns:xsd="http://www.w3.org/2001/XMLSchema" xmlns:xs="http://www.w3.org/2001/XMLSchema" xmlns:p="http://schemas.microsoft.com/office/2006/metadata/properties" xmlns:ns2="e69ae3e2-e93b-4af0-ac22-379f4202fe7a" targetNamespace="http://schemas.microsoft.com/office/2006/metadata/properties" ma:root="true" ma:fieldsID="a81e39da8d6cfea9916e2aa071db00ce" ns2:_="">
    <xsd:import namespace="e69ae3e2-e93b-4af0-ac22-379f4202fe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ae3e2-e93b-4af0-ac22-379f4202f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5C5505-675E-428D-A3E1-B9D900F079A9}">
  <ds:schemaRefs>
    <ds:schemaRef ds:uri="http://schemas.microsoft.com/office/2006/documentManagement/types"/>
    <ds:schemaRef ds:uri="http://www.w3.org/XML/1998/namespace"/>
    <ds:schemaRef ds:uri="http://purl.org/dc/dcmitype/"/>
    <ds:schemaRef ds:uri="http://schemas.openxmlformats.org/package/2006/metadata/core-properties"/>
    <ds:schemaRef ds:uri="http://purl.org/dc/terms/"/>
    <ds:schemaRef ds:uri="http://schemas.microsoft.com/office/2006/metadata/properties"/>
    <ds:schemaRef ds:uri="http://schemas.microsoft.com/office/infopath/2007/PartnerControls"/>
    <ds:schemaRef ds:uri="e69ae3e2-e93b-4af0-ac22-379f4202fe7a"/>
    <ds:schemaRef ds:uri="http://purl.org/dc/elements/1.1/"/>
  </ds:schemaRefs>
</ds:datastoreItem>
</file>

<file path=customXml/itemProps2.xml><?xml version="1.0" encoding="utf-8"?>
<ds:datastoreItem xmlns:ds="http://schemas.openxmlformats.org/officeDocument/2006/customXml" ds:itemID="{2AFEA06E-514E-41D9-AA55-4A414C8114B8}">
  <ds:schemaRefs>
    <ds:schemaRef ds:uri="http://schemas.microsoft.com/sharepoint/v3/contenttype/forms"/>
  </ds:schemaRefs>
</ds:datastoreItem>
</file>

<file path=customXml/itemProps3.xml><?xml version="1.0" encoding="utf-8"?>
<ds:datastoreItem xmlns:ds="http://schemas.openxmlformats.org/officeDocument/2006/customXml" ds:itemID="{D99D2777-1AF5-4090-8C33-E63C982AB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ae3e2-e93b-4af0-ac22-379f4202f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2357</Words>
  <Characters>13441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Greshawnda C</dc:creator>
  <cp:keywords/>
  <dc:description/>
  <cp:lastModifiedBy>Kathryn Otuma</cp:lastModifiedBy>
  <cp:revision>2</cp:revision>
  <dcterms:created xsi:type="dcterms:W3CDTF">2021-03-29T05:24:00Z</dcterms:created>
  <dcterms:modified xsi:type="dcterms:W3CDTF">2021-03-29T05:24:00Z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0x0101003B03E5C9DF47064F91E980F5383840FD</vt:lpwstr>
  </property>
</Properties>
</file>